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-135"/>
        <w:jc w:val="center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REPUBLIQUE ISLAMIQUE DE MAURIT</w:t>
      </w:r>
      <w:bookmarkStart w:id="0" w:name="_GoBack"/>
      <w:bookmarkEnd w:id="0"/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ANIE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i/>
          <w:iCs/>
          <w:color w:val="4F81BD"/>
          <w:sz w:val="20"/>
          <w:szCs w:val="20"/>
          <w:lang w:eastAsia="fr-FR"/>
        </w:rPr>
        <w:t>HONNEUR- FRATERNITE –JUSTICE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Ministère de l’Agriculture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Société Nationale pour le Développement Rural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Avis d’Appel d’offres National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N°001/CPMP/ SONADER/MA/2023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u w:val="single"/>
          <w:lang w:eastAsia="fr-FR"/>
        </w:rPr>
        <w:t>Objet :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 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Réhabilitation des bases vie de la SONADER en trois lots :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Lot 1 : les bases vie de Rosso et de </w:t>
      </w:r>
      <w:proofErr w:type="spellStart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Keur</w:t>
      </w:r>
      <w:proofErr w:type="spellEnd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 </w:t>
      </w:r>
      <w:proofErr w:type="spellStart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Macen</w:t>
      </w:r>
      <w:proofErr w:type="spellEnd"/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Lot 2 : les bases vie de </w:t>
      </w:r>
      <w:proofErr w:type="spellStart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Boghé</w:t>
      </w:r>
      <w:proofErr w:type="spellEnd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 et de Kaédi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Lot 3 : les bases vie de </w:t>
      </w:r>
      <w:proofErr w:type="spellStart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Foum</w:t>
      </w:r>
      <w:proofErr w:type="spellEnd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 </w:t>
      </w:r>
      <w:proofErr w:type="spellStart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Gleita</w:t>
      </w:r>
      <w:proofErr w:type="spellEnd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 de </w:t>
      </w:r>
      <w:proofErr w:type="spellStart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Gouraye</w:t>
      </w:r>
      <w:proofErr w:type="spellEnd"/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La Société Nationale pour le Développement Rural (SONADER) sise à Nouakchott, Arafat, route Nationale, B.P. 321, Tél: 00 (222) 525 21 61, e-mail : </w:t>
      </w:r>
      <w:hyperlink r:id="rId5" w:history="1">
        <w:r w:rsidRPr="00C42A15">
          <w:rPr>
            <w:rFonts w:asciiTheme="majorBidi" w:eastAsia="Times New Roman" w:hAnsiTheme="majorBidi" w:cstheme="majorBidi"/>
            <w:color w:val="4E73DF"/>
            <w:sz w:val="20"/>
            <w:szCs w:val="20"/>
            <w:lang w:eastAsia="fr-FR"/>
          </w:rPr>
          <w:t>maayouf.moulaye@gmail.com</w:t>
        </w:r>
      </w:hyperlink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  a obtenu des fonds de l’Etat Mauritanien, afin de financer un Programme de réhabilitation des bases vie de la SONADER, et a l’intention d’utiliser une partie de ces fonds pour effectuer des paiements au titre du Marché de travaux de Réhabilitation des bases vie de la SONADER en trois lots distincts 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:</w:t>
      </w:r>
    </w:p>
    <w:tbl>
      <w:tblPr>
        <w:tblW w:w="8190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373"/>
        <w:gridCol w:w="3261"/>
      </w:tblGrid>
      <w:tr w:rsidR="00C42A15" w:rsidRPr="00C42A15" w:rsidTr="00C42A15">
        <w:trPr>
          <w:trHeight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 w:rsidRPr="00C42A15">
              <w:rPr>
                <w:rFonts w:asciiTheme="majorBidi" w:eastAsia="Times New Roman" w:hAnsiTheme="majorBidi" w:cstheme="majorBidi"/>
                <w:b/>
                <w:bCs/>
                <w:color w:val="040404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 w:rsidRPr="00C42A15">
              <w:rPr>
                <w:rFonts w:asciiTheme="majorBidi" w:eastAsia="Times New Roman" w:hAnsiTheme="majorBidi" w:cstheme="majorBidi"/>
                <w:b/>
                <w:bCs/>
                <w:color w:val="040404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 w:rsidRPr="00C42A15">
              <w:rPr>
                <w:rFonts w:asciiTheme="majorBidi" w:eastAsia="Times New Roman" w:hAnsiTheme="majorBidi" w:cstheme="majorBidi"/>
                <w:b/>
                <w:bCs/>
                <w:color w:val="040404"/>
                <w:sz w:val="20"/>
                <w:szCs w:val="20"/>
                <w:lang w:eastAsia="fr-FR"/>
              </w:rPr>
              <w:t>Wilaya</w:t>
            </w:r>
          </w:p>
        </w:tc>
      </w:tr>
      <w:tr w:rsidR="00C42A15" w:rsidRPr="00C42A15" w:rsidTr="00C42A15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Rosso et </w:t>
            </w:r>
            <w:proofErr w:type="spellStart"/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Keur</w:t>
            </w:r>
            <w:proofErr w:type="spellEnd"/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Macen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Trarza</w:t>
            </w:r>
          </w:p>
        </w:tc>
      </w:tr>
      <w:tr w:rsidR="00C42A15" w:rsidRPr="00C42A15" w:rsidTr="00C42A15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proofErr w:type="spellStart"/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Boghé</w:t>
            </w:r>
            <w:proofErr w:type="spellEnd"/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et Kaédi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proofErr w:type="spellStart"/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Brakna</w:t>
            </w:r>
            <w:proofErr w:type="spellEnd"/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Gorgol</w:t>
            </w:r>
            <w:proofErr w:type="spellEnd"/>
          </w:p>
        </w:tc>
      </w:tr>
      <w:tr w:rsidR="00C42A15" w:rsidRPr="00C42A15" w:rsidTr="00C42A15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proofErr w:type="spellStart"/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Foum-Gleita</w:t>
            </w:r>
            <w:proofErr w:type="spellEnd"/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C42A1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Gouraye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A15" w:rsidRPr="00C42A15" w:rsidRDefault="00C42A15" w:rsidP="00C42A15">
            <w:pPr>
              <w:spacing w:after="100" w:afterAutospacing="1" w:line="240" w:lineRule="auto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proofErr w:type="spellStart"/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Gorgol</w:t>
            </w:r>
            <w:proofErr w:type="spellEnd"/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C42A15"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Guidimakha</w:t>
            </w:r>
            <w:proofErr w:type="spellEnd"/>
          </w:p>
        </w:tc>
      </w:tr>
    </w:tbl>
    <w:p w:rsidR="00C42A15" w:rsidRPr="00C42A15" w:rsidRDefault="00C42A15" w:rsidP="00C42A15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br/>
      </w:r>
    </w:p>
    <w:p w:rsidR="00C42A15" w:rsidRPr="00C42A15" w:rsidRDefault="00C42A15" w:rsidP="00C42A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La Société Nationale pour le développement Rural (SONADER), sollicite des offres sous pli fermé de la part de candidats éligibles et répondant aux qualifications requises pour réaliser, les travaux suivants :</w:t>
      </w:r>
    </w:p>
    <w:p w:rsidR="00C42A15" w:rsidRPr="00C42A15" w:rsidRDefault="00C42A15" w:rsidP="00C42A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Les travaux préparatoires ;</w:t>
      </w:r>
    </w:p>
    <w:p w:rsidR="00C42A15" w:rsidRPr="00C42A15" w:rsidRDefault="00C42A15" w:rsidP="00C42A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Les travaux de génie civil des bâtiments ;</w:t>
      </w:r>
    </w:p>
    <w:p w:rsidR="00C42A15" w:rsidRPr="00C42A15" w:rsidRDefault="00C42A15" w:rsidP="00C42A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La passation du Marché sera conduite par Appel d‘offres national tel que défini dans le Code des Marchés publics</w:t>
      </w:r>
      <w:r w:rsidRPr="00C42A15">
        <w:rPr>
          <w:rFonts w:asciiTheme="majorBidi" w:eastAsia="Times New Roman" w:hAnsiTheme="majorBidi" w:cstheme="majorBidi"/>
          <w:i/>
          <w:iCs/>
          <w:color w:val="040404"/>
          <w:sz w:val="20"/>
          <w:szCs w:val="20"/>
          <w:lang w:eastAsia="fr-FR"/>
        </w:rPr>
        <w:t>,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 et ouvert à tous les candidats éligibles.</w:t>
      </w:r>
    </w:p>
    <w:p w:rsidR="00C42A15" w:rsidRPr="00C42A15" w:rsidRDefault="00C42A15" w:rsidP="00C42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Les candidats intéressés peuvent consulter les dossiers auprès La Société Nationale pour le développement Rural (SONADER) sise à Nouakchott, Arafat, route Nationale, B.P. 321,                            Tél: 00 (222) 525 21 61,  e-mail: </w:t>
      </w:r>
      <w:hyperlink r:id="rId6" w:history="1">
        <w:r w:rsidRPr="00C42A15">
          <w:rPr>
            <w:rFonts w:asciiTheme="majorBidi" w:eastAsia="Times New Roman" w:hAnsiTheme="majorBidi" w:cstheme="majorBidi"/>
            <w:color w:val="4E73DF"/>
            <w:sz w:val="20"/>
            <w:szCs w:val="20"/>
            <w:lang w:eastAsia="fr-FR"/>
          </w:rPr>
          <w:t>maayouf.moulaye@gmail.com</w:t>
        </w:r>
      </w:hyperlink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   et y prendre connaissance des documents d’Appel d’offres </w:t>
      </w:r>
      <w:proofErr w:type="spellStart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a</w:t>
      </w:r>
      <w:proofErr w:type="spellEnd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 partir du 09 /01/2023 de 9 h à 16 h  (du Lundi  au Jeudi) et 9 h à 11 h le Vendredi.</w:t>
      </w:r>
    </w:p>
    <w:p w:rsidR="00C42A15" w:rsidRPr="00C42A15" w:rsidRDefault="00C42A15" w:rsidP="00C42A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Les exigences en matière de qualifications sont :</w:t>
      </w:r>
    </w:p>
    <w:p w:rsidR="00C42A15" w:rsidRPr="00C42A15" w:rsidRDefault="00C42A15" w:rsidP="00C42A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Avoir au cours des 3 dernières années un chiffre d’affaire moyen annuel en MRU d’au moins 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lastRenderedPageBreak/>
              <w:t>Lot 1</w:t>
            </w:r>
          </w:p>
        </w:tc>
        <w:tc>
          <w:tcPr>
            <w:tcW w:w="4531" w:type="dxa"/>
          </w:tcPr>
          <w:p w:rsidR="00C42A15" w:rsidRPr="00C42A15" w:rsidRDefault="00C42A15" w:rsidP="00C42A15">
            <w:pPr>
              <w:pStyle w:val="NormalWeb"/>
              <w:jc w:val="both"/>
              <w:rPr>
                <w:rFonts w:ascii="Segoe UI" w:hAnsi="Segoe UI" w:cs="Segoe UI"/>
                <w:color w:val="040404"/>
                <w:sz w:val="21"/>
                <w:szCs w:val="21"/>
              </w:rPr>
            </w:pPr>
            <w:r>
              <w:rPr>
                <w:rFonts w:ascii="Verdana" w:hAnsi="Verdana" w:cs="Segoe UI"/>
                <w:color w:val="040404"/>
                <w:sz w:val="18"/>
                <w:szCs w:val="18"/>
              </w:rPr>
              <w:br/>
            </w:r>
            <w:r>
              <w:rPr>
                <w:rFonts w:ascii="Verdana" w:hAnsi="Verdana" w:cs="Segoe UI"/>
                <w:color w:val="040404"/>
                <w:sz w:val="18"/>
                <w:szCs w:val="18"/>
              </w:rPr>
              <w:t>130 000</w:t>
            </w:r>
          </w:p>
        </w:tc>
      </w:tr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2</w:t>
            </w:r>
          </w:p>
        </w:tc>
        <w:tc>
          <w:tcPr>
            <w:tcW w:w="4531" w:type="dxa"/>
          </w:tcPr>
          <w:p w:rsidR="00C42A15" w:rsidRPr="00C42A15" w:rsidRDefault="00C42A15" w:rsidP="00C42A15">
            <w:pPr>
              <w:pStyle w:val="NormalWeb"/>
              <w:jc w:val="both"/>
              <w:rPr>
                <w:rFonts w:ascii="Segoe UI" w:hAnsi="Segoe UI" w:cs="Segoe UI"/>
                <w:color w:val="040404"/>
                <w:sz w:val="21"/>
                <w:szCs w:val="21"/>
              </w:rPr>
            </w:pPr>
            <w:r>
              <w:rPr>
                <w:rFonts w:ascii="Verdana" w:hAnsi="Verdana" w:cs="Segoe UI"/>
                <w:color w:val="040404"/>
                <w:sz w:val="18"/>
                <w:szCs w:val="18"/>
              </w:rPr>
              <w:br/>
            </w:r>
            <w:r>
              <w:rPr>
                <w:rFonts w:ascii="Verdana" w:hAnsi="Verdana" w:cs="Segoe UI"/>
                <w:color w:val="040404"/>
                <w:sz w:val="18"/>
                <w:szCs w:val="18"/>
              </w:rPr>
              <w:t>160 000</w:t>
            </w:r>
          </w:p>
        </w:tc>
      </w:tr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3</w:t>
            </w:r>
          </w:p>
        </w:tc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color w:val="040404"/>
                <w:sz w:val="18"/>
                <w:szCs w:val="18"/>
                <w:shd w:val="clear" w:color="auto" w:fill="FFFFFF"/>
              </w:rPr>
              <w:t>160 000</w:t>
            </w:r>
          </w:p>
        </w:tc>
      </w:tr>
    </w:tbl>
    <w:p w:rsidR="00C42A15" w:rsidRPr="00C42A15" w:rsidRDefault="00C42A15" w:rsidP="00C42A15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br/>
      </w:r>
    </w:p>
    <w:p w:rsidR="00C42A15" w:rsidRPr="00C42A15" w:rsidRDefault="00C42A15" w:rsidP="00C42A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Le bilan doit être certifié par un commissaire aux comptes agréé ;</w:t>
      </w:r>
    </w:p>
    <w:p w:rsidR="00C42A15" w:rsidRPr="00C42A15" w:rsidRDefault="00C42A15" w:rsidP="00C42A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Avoir accès aux ressources financières nécessaires à l’exécution des travaux. A cet effet une attestation de solvabilité doit être fournie pour un montant en MRU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1</w:t>
            </w:r>
          </w:p>
        </w:tc>
        <w:tc>
          <w:tcPr>
            <w:tcW w:w="4531" w:type="dxa"/>
          </w:tcPr>
          <w:p w:rsidR="00C42A15" w:rsidRPr="00C42A15" w:rsidRDefault="00C42A15" w:rsidP="00C42A15">
            <w:pPr>
              <w:pStyle w:val="NormalWeb"/>
              <w:jc w:val="both"/>
              <w:rPr>
                <w:rFonts w:ascii="Segoe UI" w:hAnsi="Segoe UI" w:cs="Segoe UI"/>
                <w:color w:val="040404"/>
                <w:sz w:val="21"/>
                <w:szCs w:val="21"/>
              </w:rPr>
            </w:pPr>
            <w:r>
              <w:rPr>
                <w:rFonts w:ascii="Verdana" w:hAnsi="Verdana" w:cs="Segoe UI"/>
                <w:color w:val="040404"/>
                <w:sz w:val="18"/>
                <w:szCs w:val="18"/>
              </w:rPr>
              <w:br/>
              <w:t>30% du Montant de la soumission</w:t>
            </w:r>
          </w:p>
        </w:tc>
      </w:tr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2</w:t>
            </w:r>
          </w:p>
        </w:tc>
        <w:tc>
          <w:tcPr>
            <w:tcW w:w="4531" w:type="dxa"/>
          </w:tcPr>
          <w:p w:rsidR="00C42A15" w:rsidRPr="00C42A15" w:rsidRDefault="00C42A15" w:rsidP="00C42A15">
            <w:pPr>
              <w:pStyle w:val="NormalWeb"/>
              <w:jc w:val="both"/>
              <w:rPr>
                <w:rFonts w:ascii="Segoe UI" w:hAnsi="Segoe UI" w:cs="Segoe UI"/>
                <w:color w:val="040404"/>
                <w:sz w:val="21"/>
                <w:szCs w:val="21"/>
              </w:rPr>
            </w:pPr>
            <w:r>
              <w:rPr>
                <w:rFonts w:ascii="Verdana" w:hAnsi="Verdana" w:cs="Segoe UI"/>
                <w:color w:val="040404"/>
                <w:sz w:val="18"/>
                <w:szCs w:val="18"/>
              </w:rPr>
              <w:br/>
              <w:t>30% du Montant de la soumission</w:t>
            </w:r>
          </w:p>
        </w:tc>
      </w:tr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3</w:t>
            </w:r>
          </w:p>
        </w:tc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color w:val="040404"/>
                <w:sz w:val="18"/>
                <w:szCs w:val="18"/>
                <w:shd w:val="clear" w:color="auto" w:fill="FFFFFF"/>
              </w:rPr>
              <w:t>30% du Montant de la soumission</w:t>
            </w:r>
          </w:p>
        </w:tc>
      </w:tr>
    </w:tbl>
    <w:p w:rsidR="00C42A15" w:rsidRPr="00C42A15" w:rsidRDefault="00C42A15" w:rsidP="00C42A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</w:p>
    <w:p w:rsidR="00C42A15" w:rsidRPr="00C42A15" w:rsidRDefault="00C42A15" w:rsidP="00C42A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Avoir une expérience spécifique dans la réalisation d’au moins deux marchés similaires en nature et/ou en volume avec attestation de bonne fin d’exécution délivrée par le maître d’ouvrage durant les trois dernières années.</w:t>
      </w:r>
    </w:p>
    <w:p w:rsidR="00C42A15" w:rsidRPr="00C42A15" w:rsidRDefault="00C42A15" w:rsidP="00C42A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Disposer en nombre, quantité et qualité suffisante des matériels et équipements nécessaires à la réalisation des travaux conformément à la liste MAT.</w:t>
      </w:r>
    </w:p>
    <w:p w:rsidR="00C42A15" w:rsidRPr="00C42A15" w:rsidRDefault="00C42A15" w:rsidP="00C42A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Disposer de moyens humains ayant les qualifications et expériences requises pour effectuer l’administration et l’exécution du marché. Les CV et les diplômes de ces personnes doivent être fournis conformément à la liste PER.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Les candidats intéressés peuvent obtenir un dossier d’Appel d’offres complet en s’adressant à la Société Nationale pour le développement Rural (SONADER</w:t>
      </w:r>
      <w:r w:rsidRPr="00C42A1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FR"/>
        </w:rPr>
        <w:t>) sise à Route Nationale1 Nouakchott, Arafat LOT Z I 7BIS, route Nationale, B.P. 321, Tél: 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00 (222) 525 21 61</w:t>
      </w:r>
      <w:r w:rsidRPr="00C42A15">
        <w:rPr>
          <w:rFonts w:asciiTheme="majorBidi" w:eastAsia="Times New Roman" w:hAnsiTheme="majorBidi" w:cstheme="majorBidi"/>
          <w:color w:val="000000"/>
          <w:sz w:val="20"/>
          <w:szCs w:val="20"/>
          <w:lang w:eastAsia="fr-FR"/>
        </w:rPr>
        <w:t> e-mail: 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maayouf.moulaye@gmail.com  contre un paiement non remboursable au Trésor Public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 Exclusivement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 de 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3 000 MRU</w:t>
      </w:r>
      <w:r w:rsidRPr="00C42A15">
        <w:rPr>
          <w:rFonts w:asciiTheme="majorBidi" w:eastAsia="Times New Roman" w:hAnsiTheme="majorBidi" w:cstheme="majorBidi"/>
          <w:i/>
          <w:iCs/>
          <w:color w:val="040404"/>
          <w:sz w:val="20"/>
          <w:szCs w:val="20"/>
          <w:lang w:eastAsia="fr-FR"/>
        </w:rPr>
        <w:t>.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 document d’Appel d’offres sera récupéré directement au siège de la SONADER par les soumissionnaires qui auront déjà effectué le paiement</w:t>
      </w:r>
      <w:r w:rsidRPr="00C42A15">
        <w:rPr>
          <w:rFonts w:asciiTheme="majorBidi" w:eastAsia="Times New Roman" w:hAnsiTheme="majorBidi" w:cstheme="majorBidi"/>
          <w:i/>
          <w:iCs/>
          <w:color w:val="040404"/>
          <w:sz w:val="20"/>
          <w:szCs w:val="20"/>
          <w:lang w:eastAsia="fr-FR"/>
        </w:rPr>
        <w:t>.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Une visite des lieux groupée sera organisée par la SONADER au niveau de l’ensemble des sites le 26/01/2023.le point de départ de la visite est le siège de la SONADER à Nouakchott.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Il ressort de la responsabilité de chaque soumissionnaire d’effectuer, à ses propres frais, la visite des lieux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Les offres devront être soumises à l’adresse ci-après :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Monsieur le Président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 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de la Commission de Passation des marchés Publics  de la Société Nationale pour le Développement Rural (SONADER) </w:t>
      </w:r>
      <w:r w:rsidRPr="00C42A15">
        <w:rPr>
          <w:rFonts w:asciiTheme="majorBidi" w:eastAsia="Times New Roman" w:hAnsiTheme="majorBidi" w:cstheme="majorBidi"/>
          <w:color w:val="000000"/>
          <w:sz w:val="20"/>
          <w:szCs w:val="20"/>
          <w:lang w:eastAsia="fr-FR"/>
        </w:rPr>
        <w:t>sise </w:t>
      </w:r>
      <w:r w:rsidRPr="00C42A1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FR"/>
        </w:rPr>
        <w:t>à Route Nationale1 Nouakchott, Arafat, LOT Z I  7BIS, route Nationale, B.P. 321, Tél: 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00 (222) 525 21 61</w:t>
      </w:r>
      <w:r w:rsidRPr="00C42A15">
        <w:rPr>
          <w:rFonts w:asciiTheme="majorBidi" w:eastAsia="Times New Roman" w:hAnsiTheme="majorBidi" w:cstheme="majorBidi"/>
          <w:color w:val="000000"/>
          <w:sz w:val="20"/>
          <w:szCs w:val="20"/>
          <w:lang w:eastAsia="fr-FR"/>
        </w:rPr>
        <w:t> e-mail: </w:t>
      </w:r>
      <w:hyperlink r:id="rId7" w:history="1">
        <w:r w:rsidRPr="00C42A15">
          <w:rPr>
            <w:rFonts w:asciiTheme="majorBidi" w:eastAsia="Times New Roman" w:hAnsiTheme="majorBidi" w:cstheme="majorBidi"/>
            <w:color w:val="4E73DF"/>
            <w:sz w:val="20"/>
            <w:szCs w:val="20"/>
            <w:lang w:eastAsia="fr-FR"/>
          </w:rPr>
          <w:t>maayouf.moulaye@gmail.com</w:t>
        </w:r>
      </w:hyperlink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   au plus tard le 09/02/ 2023 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à 12 heures TU.                                                                                                 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Les offres remises en retard ne seront pas acceptées. Les offres seront ouvertes en présence des représentants des candidats présents à la </w:t>
      </w:r>
      <w:r w:rsidRPr="00C42A15">
        <w:rPr>
          <w:rFonts w:asciiTheme="majorBidi" w:eastAsia="Times New Roman" w:hAnsiTheme="majorBidi" w:cstheme="majorBidi"/>
          <w:color w:val="000000"/>
          <w:sz w:val="20"/>
          <w:szCs w:val="20"/>
          <w:lang w:eastAsia="fr-FR"/>
        </w:rPr>
        <w:t>Commission de Passation des marchés Publics de la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 Société Nationale pour le développement Rural (CPMP - SONADER</w:t>
      </w:r>
      <w:r w:rsidRPr="00C42A15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FR"/>
        </w:rPr>
        <w:t>) </w:t>
      </w:r>
      <w:r w:rsidRPr="00C42A15">
        <w:rPr>
          <w:rFonts w:asciiTheme="majorBidi" w:eastAsia="Times New Roman" w:hAnsiTheme="majorBidi" w:cstheme="majorBidi"/>
          <w:color w:val="000000"/>
          <w:sz w:val="20"/>
          <w:szCs w:val="20"/>
          <w:lang w:eastAsia="fr-FR"/>
        </w:rPr>
        <w:t>sise à Nouakchott, Arafat, route Nationale, B.P. 321, Tél: 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00 (222) 525 21 61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 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 </w:t>
      </w: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09/02/ 2023 à 12h</w:t>
      </w:r>
      <w:proofErr w:type="gramStart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,30</w:t>
      </w:r>
      <w:proofErr w:type="gramEnd"/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 xml:space="preserve"> munîtes TU.</w:t>
      </w:r>
    </w:p>
    <w:p w:rsidR="00C42A15" w:rsidRDefault="00C42A15" w:rsidP="00C42A1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lastRenderedPageBreak/>
        <w:t>Les offres doivent comprendre une garantie de soumission d’une validité de 120 jours à compter de la date de dépôt des offres d’un montant en MRU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1</w:t>
            </w:r>
          </w:p>
        </w:tc>
        <w:tc>
          <w:tcPr>
            <w:tcW w:w="4531" w:type="dxa"/>
          </w:tcPr>
          <w:p w:rsidR="00C42A15" w:rsidRDefault="00C42A15" w:rsidP="00C42A15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150 000</w:t>
            </w:r>
          </w:p>
        </w:tc>
      </w:tr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2</w:t>
            </w:r>
          </w:p>
        </w:tc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170 000</w:t>
            </w:r>
          </w:p>
        </w:tc>
      </w:tr>
      <w:tr w:rsidR="00C42A15" w:rsidTr="00E30C30"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3</w:t>
            </w:r>
          </w:p>
        </w:tc>
        <w:tc>
          <w:tcPr>
            <w:tcW w:w="4531" w:type="dxa"/>
          </w:tcPr>
          <w:p w:rsidR="00C42A15" w:rsidRDefault="00C42A15" w:rsidP="00E30C30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170 000</w:t>
            </w:r>
          </w:p>
        </w:tc>
      </w:tr>
    </w:tbl>
    <w:p w:rsidR="00C42A15" w:rsidRPr="00C42A15" w:rsidRDefault="00C42A15" w:rsidP="00C42A15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</w:p>
    <w:p w:rsidR="00C42A15" w:rsidRPr="00C42A15" w:rsidRDefault="00C42A15" w:rsidP="00C42A15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br/>
      </w:r>
    </w:p>
    <w:p w:rsidR="00C42A15" w:rsidRPr="00C42A15" w:rsidRDefault="00C42A15" w:rsidP="00C42A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Les offres devront demeurer valides pendant une durée de 90 jours à compter de la date limite de soumission.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6. Le délai d’exécution des travaux en mois est de </w:t>
      </w: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A15" w:rsidTr="00C42A15">
        <w:tc>
          <w:tcPr>
            <w:tcW w:w="4531" w:type="dxa"/>
          </w:tcPr>
          <w:p w:rsidR="00C42A15" w:rsidRDefault="00C42A15" w:rsidP="00C42A15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1</w:t>
            </w:r>
          </w:p>
        </w:tc>
        <w:tc>
          <w:tcPr>
            <w:tcW w:w="4531" w:type="dxa"/>
          </w:tcPr>
          <w:p w:rsidR="00C42A15" w:rsidRDefault="00C42A15" w:rsidP="00C42A15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 xml:space="preserve">3 mois </w:t>
            </w:r>
          </w:p>
        </w:tc>
      </w:tr>
      <w:tr w:rsidR="00C42A15" w:rsidTr="00C42A15">
        <w:tc>
          <w:tcPr>
            <w:tcW w:w="4531" w:type="dxa"/>
          </w:tcPr>
          <w:p w:rsidR="00C42A15" w:rsidRDefault="00C42A15" w:rsidP="00C42A15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2</w:t>
            </w:r>
          </w:p>
        </w:tc>
        <w:tc>
          <w:tcPr>
            <w:tcW w:w="4531" w:type="dxa"/>
          </w:tcPr>
          <w:p w:rsidR="00C42A15" w:rsidRDefault="00C42A15" w:rsidP="00C42A15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3 mois</w:t>
            </w:r>
          </w:p>
        </w:tc>
      </w:tr>
      <w:tr w:rsidR="00C42A15" w:rsidTr="00C42A15">
        <w:tc>
          <w:tcPr>
            <w:tcW w:w="4531" w:type="dxa"/>
          </w:tcPr>
          <w:p w:rsidR="00C42A15" w:rsidRDefault="00C42A15" w:rsidP="00C42A15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Lot 3</w:t>
            </w:r>
          </w:p>
        </w:tc>
        <w:tc>
          <w:tcPr>
            <w:tcW w:w="4531" w:type="dxa"/>
          </w:tcPr>
          <w:p w:rsidR="00C42A15" w:rsidRDefault="00C42A15" w:rsidP="00C42A15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40404"/>
                <w:sz w:val="20"/>
                <w:szCs w:val="20"/>
                <w:lang w:eastAsia="fr-FR"/>
              </w:rPr>
              <w:t>3 mois</w:t>
            </w:r>
          </w:p>
        </w:tc>
      </w:tr>
    </w:tbl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br/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285"/>
        <w:jc w:val="both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  <w:t>7.    Un soumissionnaire peut soumissionner à l’ensemble des lots mais ne peut être attributaire de plus de deux lots  maximum.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ind w:left="4950"/>
        <w:jc w:val="right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Le Directeur Général</w:t>
      </w:r>
    </w:p>
    <w:p w:rsidR="00C42A15" w:rsidRPr="00C42A15" w:rsidRDefault="00C42A15" w:rsidP="00C42A15">
      <w:pPr>
        <w:shd w:val="clear" w:color="auto" w:fill="FFFFFF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040404"/>
          <w:sz w:val="20"/>
          <w:szCs w:val="20"/>
          <w:lang w:eastAsia="fr-FR"/>
        </w:rPr>
      </w:pPr>
      <w:proofErr w:type="spellStart"/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>Memma</w:t>
      </w:r>
      <w:proofErr w:type="spellEnd"/>
      <w:r w:rsidRPr="00C42A15">
        <w:rPr>
          <w:rFonts w:asciiTheme="majorBidi" w:eastAsia="Times New Roman" w:hAnsiTheme="majorBidi" w:cstheme="majorBidi"/>
          <w:b/>
          <w:bCs/>
          <w:color w:val="040404"/>
          <w:sz w:val="20"/>
          <w:szCs w:val="20"/>
          <w:lang w:eastAsia="fr-FR"/>
        </w:rPr>
        <w:t xml:space="preserve"> BEIBATTA</w:t>
      </w:r>
    </w:p>
    <w:p w:rsidR="00871F2B" w:rsidRPr="00C42A15" w:rsidRDefault="00871F2B" w:rsidP="00C42A15">
      <w:pPr>
        <w:rPr>
          <w:rFonts w:asciiTheme="majorBidi" w:hAnsiTheme="majorBidi" w:cstheme="majorBidi"/>
          <w:sz w:val="20"/>
          <w:szCs w:val="20"/>
        </w:rPr>
      </w:pPr>
    </w:p>
    <w:sectPr w:rsidR="00871F2B" w:rsidRPr="00C4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454"/>
    <w:multiLevelType w:val="multilevel"/>
    <w:tmpl w:val="8612C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7F1"/>
    <w:multiLevelType w:val="multilevel"/>
    <w:tmpl w:val="699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001EF"/>
    <w:multiLevelType w:val="multilevel"/>
    <w:tmpl w:val="C002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06BCB"/>
    <w:multiLevelType w:val="hybridMultilevel"/>
    <w:tmpl w:val="EC38A22A"/>
    <w:lvl w:ilvl="0" w:tplc="837EF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C09C1"/>
    <w:multiLevelType w:val="multilevel"/>
    <w:tmpl w:val="BA1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10321"/>
    <w:multiLevelType w:val="multilevel"/>
    <w:tmpl w:val="65BA2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9377E"/>
    <w:multiLevelType w:val="multilevel"/>
    <w:tmpl w:val="3F8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15D9"/>
    <w:multiLevelType w:val="multilevel"/>
    <w:tmpl w:val="90D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14FDD"/>
    <w:multiLevelType w:val="multilevel"/>
    <w:tmpl w:val="4D66A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57CF2"/>
    <w:multiLevelType w:val="multilevel"/>
    <w:tmpl w:val="395CF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A0"/>
    <w:rsid w:val="002851B7"/>
    <w:rsid w:val="00672BAB"/>
    <w:rsid w:val="00871F2B"/>
    <w:rsid w:val="00C42A15"/>
    <w:rsid w:val="00C82417"/>
    <w:rsid w:val="00D027A0"/>
    <w:rsid w:val="00E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E0AF-EF4C-4E73-B27A-0C460B80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42A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F2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C42A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4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42A15"/>
    <w:rPr>
      <w:b/>
      <w:bCs/>
    </w:rPr>
  </w:style>
  <w:style w:type="character" w:styleId="Accentuation">
    <w:name w:val="Emphasis"/>
    <w:basedOn w:val="Policepardfaut"/>
    <w:uiPriority w:val="20"/>
    <w:qFormat/>
    <w:rsid w:val="00C42A1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42A1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4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ayouf.moulay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youf.moulaye@gmail.com" TargetMode="External"/><Relationship Id="rId5" Type="http://schemas.openxmlformats.org/officeDocument/2006/relationships/hyperlink" Target="mailto:maayouf.moulay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2023-01-11T10:53:00Z</dcterms:created>
  <dcterms:modified xsi:type="dcterms:W3CDTF">2023-01-11T10:53:00Z</dcterms:modified>
</cp:coreProperties>
</file>