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A05" w:rsidRPr="003A5A05" w:rsidRDefault="003A5A05" w:rsidP="003A5A05">
      <w:pPr>
        <w:shd w:val="clear" w:color="auto" w:fill="FFFFFF"/>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i/>
          <w:iCs/>
          <w:color w:val="040404"/>
          <w:sz w:val="18"/>
          <w:szCs w:val="18"/>
          <w:lang w:eastAsia="fr-FR"/>
        </w:rPr>
        <w:t>Délégation Générale à la Solidarité Nationale et à la Lutte Contre l’Exclusion (TAAZOUR)</w:t>
      </w:r>
    </w:p>
    <w:p w:rsidR="003A5A05" w:rsidRPr="003A5A05" w:rsidRDefault="003A5A05" w:rsidP="003A5A05">
      <w:pPr>
        <w:shd w:val="clear" w:color="auto" w:fill="FFFFFF"/>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i/>
          <w:iCs/>
          <w:color w:val="040404"/>
          <w:sz w:val="18"/>
          <w:szCs w:val="18"/>
          <w:u w:val="single"/>
          <w:shd w:val="clear" w:color="auto" w:fill="FFFF00"/>
          <w:lang w:eastAsia="fr-FR"/>
        </w:rPr>
        <w:t>AAO N</w:t>
      </w:r>
      <w:r w:rsidRPr="003A5A05">
        <w:rPr>
          <w:rFonts w:ascii="Verdana" w:eastAsia="Times New Roman" w:hAnsi="Verdana" w:cs="Segoe UI"/>
          <w:i/>
          <w:iCs/>
          <w:color w:val="040404"/>
          <w:sz w:val="14"/>
          <w:szCs w:val="14"/>
          <w:u w:val="single"/>
          <w:shd w:val="clear" w:color="auto" w:fill="FFFF00"/>
          <w:vertAlign w:val="superscript"/>
          <w:lang w:eastAsia="fr-FR"/>
        </w:rPr>
        <w:t>o</w:t>
      </w:r>
      <w:r w:rsidRPr="003A5A05">
        <w:rPr>
          <w:rFonts w:ascii="Verdana" w:eastAsia="Times New Roman" w:hAnsi="Verdana" w:cs="Segoe UI"/>
          <w:i/>
          <w:iCs/>
          <w:color w:val="040404"/>
          <w:sz w:val="18"/>
          <w:szCs w:val="18"/>
          <w:shd w:val="clear" w:color="auto" w:fill="FFFF00"/>
          <w:lang w:eastAsia="fr-FR"/>
        </w:rPr>
        <w:t> </w:t>
      </w:r>
      <w:r w:rsidRPr="003A5A05">
        <w:rPr>
          <w:rFonts w:ascii="Verdana" w:eastAsia="Times New Roman" w:hAnsi="Verdana" w:cs="Segoe UI"/>
          <w:b/>
          <w:bCs/>
          <w:color w:val="040404"/>
          <w:sz w:val="18"/>
          <w:szCs w:val="18"/>
          <w:shd w:val="clear" w:color="auto" w:fill="FFFF00"/>
          <w:lang w:eastAsia="fr-FR"/>
        </w:rPr>
        <w:t>005/CPMP/TAAZOUR/2023</w:t>
      </w:r>
      <w:r w:rsidRPr="003A5A05">
        <w:rPr>
          <w:rFonts w:ascii="Verdana" w:eastAsia="Times New Roman" w:hAnsi="Verdana" w:cs="Segoe UI"/>
          <w:i/>
          <w:iCs/>
          <w:color w:val="040404"/>
          <w:sz w:val="18"/>
          <w:szCs w:val="18"/>
          <w:shd w:val="clear" w:color="auto" w:fill="FFFF00"/>
          <w:lang w:eastAsia="fr-FR"/>
        </w:rPr>
        <w:t>:</w:t>
      </w:r>
    </w:p>
    <w:p w:rsidR="003A5A05" w:rsidRPr="003A5A05" w:rsidRDefault="003A5A05" w:rsidP="003A5A05">
      <w:pPr>
        <w:numPr>
          <w:ilvl w:val="0"/>
          <w:numId w:val="26"/>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Cet Avis d’appel d’offres fait suite au plan de Passation des Marchés paru dans le site du département </w:t>
      </w:r>
      <w:hyperlink r:id="rId5" w:history="1">
        <w:r w:rsidRPr="003A5A05">
          <w:rPr>
            <w:rFonts w:ascii="Verdana" w:eastAsia="Times New Roman" w:hAnsi="Verdana" w:cs="Segoe UI"/>
            <w:color w:val="0000FF"/>
            <w:sz w:val="18"/>
            <w:szCs w:val="18"/>
            <w:u w:val="single"/>
            <w:lang w:eastAsia="fr-FR"/>
          </w:rPr>
          <w:t>www.taazour.mr/ </w:t>
        </w:r>
      </w:hyperlink>
      <w:r w:rsidRPr="003A5A05">
        <w:rPr>
          <w:rFonts w:ascii="Verdana" w:eastAsia="Times New Roman" w:hAnsi="Verdana" w:cs="Segoe UI"/>
          <w:color w:val="040404"/>
          <w:sz w:val="18"/>
          <w:szCs w:val="18"/>
          <w:lang w:eastAsia="fr-FR"/>
        </w:rPr>
        <w:t>    </w:t>
      </w:r>
    </w:p>
    <w:p w:rsidR="003A5A05" w:rsidRPr="003A5A05" w:rsidRDefault="003A5A05" w:rsidP="003A5A05">
      <w:pPr>
        <w:numPr>
          <w:ilvl w:val="0"/>
          <w:numId w:val="27"/>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Cet Avis d’appel d’offres est relatif au Dossier d’Appel d’Offres </w:t>
      </w:r>
      <w:r w:rsidRPr="003A5A05">
        <w:rPr>
          <w:rFonts w:ascii="Verdana" w:eastAsia="Times New Roman" w:hAnsi="Verdana" w:cs="Segoe UI"/>
          <w:color w:val="040404"/>
          <w:sz w:val="18"/>
          <w:szCs w:val="18"/>
          <w:shd w:val="clear" w:color="auto" w:fill="FFFF00"/>
          <w:lang w:eastAsia="fr-FR"/>
        </w:rPr>
        <w:t>N°005/CPMP/TAAZOUR/2023</w:t>
      </w:r>
      <w:r w:rsidRPr="003A5A05">
        <w:rPr>
          <w:rFonts w:ascii="Verdana" w:eastAsia="Times New Roman" w:hAnsi="Verdana" w:cs="Segoe UI"/>
          <w:color w:val="040404"/>
          <w:sz w:val="18"/>
          <w:szCs w:val="18"/>
          <w:u w:val="single"/>
          <w:lang w:eastAsia="fr-FR"/>
        </w:rPr>
        <w:t>      </w:t>
      </w:r>
    </w:p>
    <w:p w:rsidR="003A5A05" w:rsidRPr="003A5A05" w:rsidRDefault="003A5A05" w:rsidP="003A5A05">
      <w:pPr>
        <w:shd w:val="clear" w:color="auto" w:fill="FFFFFF"/>
        <w:spacing w:after="100" w:afterAutospacing="1" w:line="240" w:lineRule="auto"/>
        <w:ind w:left="60"/>
        <w:jc w:val="both"/>
        <w:rPr>
          <w:rFonts w:ascii="Segoe UI" w:eastAsia="Times New Roman" w:hAnsi="Segoe UI" w:cs="Segoe UI"/>
          <w:color w:val="040404"/>
          <w:sz w:val="21"/>
          <w:szCs w:val="21"/>
          <w:lang w:eastAsia="fr-FR"/>
        </w:rPr>
      </w:pPr>
      <w:r w:rsidRPr="003A5A05">
        <w:rPr>
          <w:rFonts w:ascii="Verdana" w:eastAsia="Times New Roman" w:hAnsi="Verdana" w:cs="Segoe UI"/>
          <w:b/>
          <w:bCs/>
          <w:color w:val="040404"/>
          <w:sz w:val="18"/>
          <w:szCs w:val="18"/>
          <w:lang w:eastAsia="fr-FR"/>
        </w:rPr>
        <w:t xml:space="preserve">La délégation générale à la solidarité nationale et à la lutte contre l’exclusion a prévu dans le budget de 2023 un montant pour la réalisation des forages, afin de financer le projet de réalisation des travaux pour la réalisation des forages dans plusieurs localités à l’intérieur du pays, et a l’intention d’utiliser une partie de ces fonds pour effectuer des paiements au titre des Travaux de réalisation de 9 forages de reconnaissance transformables en 4 forages d’exploitation dans les localités de </w:t>
      </w:r>
      <w:proofErr w:type="spellStart"/>
      <w:r w:rsidRPr="003A5A05">
        <w:rPr>
          <w:rFonts w:ascii="Verdana" w:eastAsia="Times New Roman" w:hAnsi="Verdana" w:cs="Segoe UI"/>
          <w:b/>
          <w:bCs/>
          <w:color w:val="040404"/>
          <w:sz w:val="18"/>
          <w:szCs w:val="18"/>
          <w:lang w:eastAsia="fr-FR"/>
        </w:rPr>
        <w:t>Boulenoir</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Dakhlet</w:t>
      </w:r>
      <w:proofErr w:type="spellEnd"/>
      <w:r w:rsidRPr="003A5A05">
        <w:rPr>
          <w:rFonts w:ascii="Verdana" w:eastAsia="Times New Roman" w:hAnsi="Verdana" w:cs="Segoe UI"/>
          <w:b/>
          <w:bCs/>
          <w:color w:val="040404"/>
          <w:sz w:val="18"/>
          <w:szCs w:val="18"/>
          <w:lang w:eastAsia="fr-FR"/>
        </w:rPr>
        <w:t xml:space="preserve"> Nouadhibou), </w:t>
      </w:r>
      <w:proofErr w:type="spellStart"/>
      <w:r w:rsidRPr="003A5A05">
        <w:rPr>
          <w:rFonts w:ascii="Verdana" w:eastAsia="Times New Roman" w:hAnsi="Verdana" w:cs="Segoe UI"/>
          <w:b/>
          <w:bCs/>
          <w:color w:val="040404"/>
          <w:sz w:val="18"/>
          <w:szCs w:val="18"/>
          <w:lang w:eastAsia="fr-FR"/>
        </w:rPr>
        <w:t>Arch</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Talh</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Assaba</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Tenadi</w:t>
      </w:r>
      <w:proofErr w:type="spellEnd"/>
      <w:r w:rsidRPr="003A5A05">
        <w:rPr>
          <w:rFonts w:ascii="Verdana" w:eastAsia="Times New Roman" w:hAnsi="Verdana" w:cs="Segoe UI"/>
          <w:b/>
          <w:bCs/>
          <w:color w:val="040404"/>
          <w:sz w:val="18"/>
          <w:szCs w:val="18"/>
          <w:lang w:eastAsia="fr-FR"/>
        </w:rPr>
        <w:t xml:space="preserve"> (Trarza) et </w:t>
      </w:r>
      <w:proofErr w:type="spellStart"/>
      <w:r w:rsidRPr="003A5A05">
        <w:rPr>
          <w:rFonts w:ascii="Verdana" w:eastAsia="Times New Roman" w:hAnsi="Verdana" w:cs="Segoe UI"/>
          <w:b/>
          <w:bCs/>
          <w:color w:val="040404"/>
          <w:sz w:val="18"/>
          <w:szCs w:val="18"/>
          <w:lang w:eastAsia="fr-FR"/>
        </w:rPr>
        <w:t>Nebket</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Lekbach</w:t>
      </w:r>
      <w:proofErr w:type="spellEnd"/>
      <w:r w:rsidRPr="003A5A05">
        <w:rPr>
          <w:rFonts w:ascii="Verdana" w:eastAsia="Times New Roman" w:hAnsi="Verdana" w:cs="Segoe UI"/>
          <w:b/>
          <w:bCs/>
          <w:color w:val="040404"/>
          <w:sz w:val="18"/>
          <w:szCs w:val="18"/>
          <w:lang w:eastAsia="fr-FR"/>
        </w:rPr>
        <w:t xml:space="preserve"> (Trarza), construction d’un </w:t>
      </w:r>
      <w:proofErr w:type="spellStart"/>
      <w:r w:rsidRPr="003A5A05">
        <w:rPr>
          <w:rFonts w:ascii="Verdana" w:eastAsia="Times New Roman" w:hAnsi="Verdana" w:cs="Segoe UI"/>
          <w:b/>
          <w:bCs/>
          <w:color w:val="040404"/>
          <w:sz w:val="18"/>
          <w:szCs w:val="18"/>
          <w:lang w:eastAsia="fr-FR"/>
        </w:rPr>
        <w:t>chateau</w:t>
      </w:r>
      <w:proofErr w:type="spellEnd"/>
      <w:r w:rsidRPr="003A5A05">
        <w:rPr>
          <w:rFonts w:ascii="Verdana" w:eastAsia="Times New Roman" w:hAnsi="Verdana" w:cs="Segoe UI"/>
          <w:b/>
          <w:bCs/>
          <w:color w:val="040404"/>
          <w:sz w:val="18"/>
          <w:szCs w:val="18"/>
          <w:lang w:eastAsia="fr-FR"/>
        </w:rPr>
        <w:t xml:space="preserve"> d’eau </w:t>
      </w:r>
      <w:proofErr w:type="spellStart"/>
      <w:r w:rsidRPr="003A5A05">
        <w:rPr>
          <w:rFonts w:ascii="Verdana" w:eastAsia="Times New Roman" w:hAnsi="Verdana" w:cs="Segoe UI"/>
          <w:b/>
          <w:bCs/>
          <w:color w:val="040404"/>
          <w:sz w:val="18"/>
          <w:szCs w:val="18"/>
          <w:lang w:eastAsia="fr-FR"/>
        </w:rPr>
        <w:t>Oumjneyeh</w:t>
      </w:r>
      <w:proofErr w:type="spellEnd"/>
      <w:r w:rsidRPr="003A5A05">
        <w:rPr>
          <w:rFonts w:ascii="Verdana" w:eastAsia="Times New Roman" w:hAnsi="Verdana" w:cs="Segoe UI"/>
          <w:b/>
          <w:bCs/>
          <w:color w:val="040404"/>
          <w:sz w:val="18"/>
          <w:szCs w:val="18"/>
          <w:lang w:eastAsia="fr-FR"/>
        </w:rPr>
        <w:t xml:space="preserve"> (Trarza), AEP à </w:t>
      </w:r>
      <w:proofErr w:type="spellStart"/>
      <w:r w:rsidRPr="003A5A05">
        <w:rPr>
          <w:rFonts w:ascii="Verdana" w:eastAsia="Times New Roman" w:hAnsi="Verdana" w:cs="Segoe UI"/>
          <w:b/>
          <w:bCs/>
          <w:color w:val="040404"/>
          <w:sz w:val="18"/>
          <w:szCs w:val="18"/>
          <w:lang w:eastAsia="fr-FR"/>
        </w:rPr>
        <w:t>Hassi</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Ehel</w:t>
      </w:r>
      <w:proofErr w:type="spellEnd"/>
      <w:r w:rsidRPr="003A5A05">
        <w:rPr>
          <w:rFonts w:ascii="Verdana" w:eastAsia="Times New Roman" w:hAnsi="Verdana" w:cs="Segoe UI"/>
          <w:b/>
          <w:bCs/>
          <w:color w:val="040404"/>
          <w:sz w:val="18"/>
          <w:szCs w:val="18"/>
          <w:lang w:eastAsia="fr-FR"/>
        </w:rPr>
        <w:t xml:space="preserve"> Abdi (</w:t>
      </w:r>
      <w:proofErr w:type="spellStart"/>
      <w:r w:rsidRPr="003A5A05">
        <w:rPr>
          <w:rFonts w:ascii="Verdana" w:eastAsia="Times New Roman" w:hAnsi="Verdana" w:cs="Segoe UI"/>
          <w:b/>
          <w:bCs/>
          <w:color w:val="040404"/>
          <w:sz w:val="18"/>
          <w:szCs w:val="18"/>
          <w:lang w:eastAsia="fr-FR"/>
        </w:rPr>
        <w:t>Hodh</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Chargui</w:t>
      </w:r>
      <w:proofErr w:type="spellEnd"/>
      <w:r w:rsidRPr="003A5A05">
        <w:rPr>
          <w:rFonts w:ascii="Verdana" w:eastAsia="Times New Roman" w:hAnsi="Verdana" w:cs="Segoe UI"/>
          <w:b/>
          <w:bCs/>
          <w:color w:val="040404"/>
          <w:sz w:val="18"/>
          <w:szCs w:val="18"/>
          <w:lang w:eastAsia="fr-FR"/>
        </w:rPr>
        <w:t xml:space="preserve">) et AEP Tin </w:t>
      </w:r>
      <w:proofErr w:type="spellStart"/>
      <w:r w:rsidRPr="003A5A05">
        <w:rPr>
          <w:rFonts w:ascii="Verdana" w:eastAsia="Times New Roman" w:hAnsi="Verdana" w:cs="Segoe UI"/>
          <w:b/>
          <w:bCs/>
          <w:color w:val="040404"/>
          <w:sz w:val="18"/>
          <w:szCs w:val="18"/>
          <w:lang w:eastAsia="fr-FR"/>
        </w:rPr>
        <w:t>Beinougua</w:t>
      </w:r>
      <w:proofErr w:type="spellEnd"/>
      <w:r w:rsidRPr="003A5A05">
        <w:rPr>
          <w:rFonts w:ascii="Verdana" w:eastAsia="Times New Roman" w:hAnsi="Verdana" w:cs="Segoe UI"/>
          <w:b/>
          <w:bCs/>
          <w:color w:val="040404"/>
          <w:sz w:val="18"/>
          <w:szCs w:val="18"/>
          <w:lang w:eastAsia="fr-FR"/>
        </w:rPr>
        <w:t xml:space="preserve"> (Trarza)</w:t>
      </w:r>
    </w:p>
    <w:p w:rsidR="003A5A05" w:rsidRPr="003A5A05" w:rsidRDefault="003A5A05" w:rsidP="003A5A05">
      <w:pPr>
        <w:shd w:val="clear" w:color="auto" w:fill="FFFFFF"/>
        <w:spacing w:after="100" w:afterAutospacing="1" w:line="240" w:lineRule="auto"/>
        <w:ind w:left="60"/>
        <w:jc w:val="both"/>
        <w:rPr>
          <w:rFonts w:ascii="Segoe UI" w:eastAsia="Times New Roman" w:hAnsi="Segoe UI" w:cs="Segoe UI"/>
          <w:color w:val="040404"/>
          <w:sz w:val="21"/>
          <w:szCs w:val="21"/>
          <w:lang w:eastAsia="fr-FR"/>
        </w:rPr>
      </w:pPr>
      <w:r w:rsidRPr="003A5A05">
        <w:rPr>
          <w:rFonts w:ascii="Verdana" w:eastAsia="Times New Roman" w:hAnsi="Verdana" w:cs="Segoe UI"/>
          <w:b/>
          <w:bCs/>
          <w:color w:val="040404"/>
          <w:sz w:val="18"/>
          <w:szCs w:val="18"/>
          <w:lang w:eastAsia="fr-FR"/>
        </w:rPr>
        <w:t>Les travaux seront exécutés dans un délai ne dépassant pas deux (02) mois pour le lot 1 et cinq (05) mois pour le lot 2.</w:t>
      </w:r>
    </w:p>
    <w:p w:rsidR="003A5A05" w:rsidRPr="003A5A05" w:rsidRDefault="003A5A05" w:rsidP="003A5A05">
      <w:pPr>
        <w:shd w:val="clear" w:color="auto" w:fill="FFFFFF"/>
        <w:spacing w:after="100" w:afterAutospacing="1" w:line="240" w:lineRule="auto"/>
        <w:ind w:left="60"/>
        <w:jc w:val="both"/>
        <w:rPr>
          <w:rFonts w:ascii="Segoe UI" w:eastAsia="Times New Roman" w:hAnsi="Segoe UI" w:cs="Segoe UI"/>
          <w:color w:val="040404"/>
          <w:sz w:val="21"/>
          <w:szCs w:val="21"/>
          <w:lang w:eastAsia="fr-FR"/>
        </w:rPr>
      </w:pPr>
      <w:r w:rsidRPr="003A5A05">
        <w:rPr>
          <w:rFonts w:ascii="Verdana" w:eastAsia="Times New Roman" w:hAnsi="Verdana" w:cs="Segoe UI"/>
          <w:b/>
          <w:bCs/>
          <w:color w:val="040404"/>
          <w:sz w:val="18"/>
          <w:szCs w:val="18"/>
          <w:lang w:eastAsia="fr-FR"/>
        </w:rPr>
        <w:t xml:space="preserve">La Délégation Générale à la Solidarité Nationale et à la Lutte Contre l’Exclusion sollicite des offres sous pli fermé de la part de candidats éligibles et répondant aux qualifications requises pour exécuter en deux lots distinct les travaux de réalisation de 5 forages de reconnaissance transformables en 2 forages d’exploitation dans les localités de </w:t>
      </w:r>
      <w:proofErr w:type="spellStart"/>
      <w:r w:rsidRPr="003A5A05">
        <w:rPr>
          <w:rFonts w:ascii="Verdana" w:eastAsia="Times New Roman" w:hAnsi="Verdana" w:cs="Segoe UI"/>
          <w:b/>
          <w:bCs/>
          <w:color w:val="040404"/>
          <w:sz w:val="18"/>
          <w:szCs w:val="18"/>
          <w:lang w:eastAsia="fr-FR"/>
        </w:rPr>
        <w:t>Boulenoir</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Dakhlet</w:t>
      </w:r>
      <w:proofErr w:type="spellEnd"/>
      <w:r w:rsidRPr="003A5A05">
        <w:rPr>
          <w:rFonts w:ascii="Verdana" w:eastAsia="Times New Roman" w:hAnsi="Verdana" w:cs="Segoe UI"/>
          <w:b/>
          <w:bCs/>
          <w:color w:val="040404"/>
          <w:sz w:val="18"/>
          <w:szCs w:val="18"/>
          <w:lang w:eastAsia="fr-FR"/>
        </w:rPr>
        <w:t xml:space="preserve"> Nouadhibou) et de </w:t>
      </w:r>
      <w:proofErr w:type="spellStart"/>
      <w:r w:rsidRPr="003A5A05">
        <w:rPr>
          <w:rFonts w:ascii="Verdana" w:eastAsia="Times New Roman" w:hAnsi="Verdana" w:cs="Segoe UI"/>
          <w:b/>
          <w:bCs/>
          <w:color w:val="040404"/>
          <w:sz w:val="18"/>
          <w:szCs w:val="18"/>
          <w:lang w:eastAsia="fr-FR"/>
        </w:rPr>
        <w:t>Arch</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Talh</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Assaba</w:t>
      </w:r>
      <w:proofErr w:type="spellEnd"/>
      <w:r w:rsidRPr="003A5A05">
        <w:rPr>
          <w:rFonts w:ascii="Verdana" w:eastAsia="Times New Roman" w:hAnsi="Verdana" w:cs="Segoe UI"/>
          <w:b/>
          <w:bCs/>
          <w:color w:val="040404"/>
          <w:sz w:val="18"/>
          <w:szCs w:val="18"/>
          <w:lang w:eastAsia="fr-FR"/>
        </w:rPr>
        <w:t xml:space="preserve">) et de </w:t>
      </w:r>
      <w:proofErr w:type="spellStart"/>
      <w:r w:rsidRPr="003A5A05">
        <w:rPr>
          <w:rFonts w:ascii="Verdana" w:eastAsia="Times New Roman" w:hAnsi="Verdana" w:cs="Segoe UI"/>
          <w:b/>
          <w:bCs/>
          <w:color w:val="040404"/>
          <w:sz w:val="18"/>
          <w:szCs w:val="18"/>
          <w:lang w:eastAsia="fr-FR"/>
        </w:rPr>
        <w:t>Arch</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Talh</w:t>
      </w:r>
      <w:proofErr w:type="spellEnd"/>
      <w:r w:rsidRPr="003A5A05">
        <w:rPr>
          <w:rFonts w:ascii="Verdana" w:eastAsia="Times New Roman" w:hAnsi="Verdana" w:cs="Segoe UI"/>
          <w:b/>
          <w:bCs/>
          <w:color w:val="040404"/>
          <w:sz w:val="18"/>
          <w:szCs w:val="18"/>
          <w:lang w:eastAsia="fr-FR"/>
        </w:rPr>
        <w:t xml:space="preserve"> (</w:t>
      </w:r>
      <w:proofErr w:type="spellStart"/>
      <w:r w:rsidRPr="003A5A05">
        <w:rPr>
          <w:rFonts w:ascii="Verdana" w:eastAsia="Times New Roman" w:hAnsi="Verdana" w:cs="Segoe UI"/>
          <w:b/>
          <w:bCs/>
          <w:color w:val="040404"/>
          <w:sz w:val="18"/>
          <w:szCs w:val="18"/>
          <w:lang w:eastAsia="fr-FR"/>
        </w:rPr>
        <w:t>Assaba</w:t>
      </w:r>
      <w:proofErr w:type="spellEnd"/>
      <w:r w:rsidRPr="003A5A05">
        <w:rPr>
          <w:rFonts w:ascii="Verdana" w:eastAsia="Times New Roman" w:hAnsi="Verdana" w:cs="Segoe UI"/>
          <w:b/>
          <w:bCs/>
          <w:color w:val="040404"/>
          <w:sz w:val="18"/>
          <w:szCs w:val="18"/>
          <w:lang w:eastAsia="fr-FR"/>
        </w:rPr>
        <w:t xml:space="preserve">) et construction d’un château d’eau </w:t>
      </w:r>
      <w:proofErr w:type="spellStart"/>
      <w:r w:rsidRPr="003A5A05">
        <w:rPr>
          <w:rFonts w:ascii="Verdana" w:eastAsia="Times New Roman" w:hAnsi="Verdana" w:cs="Segoe UI"/>
          <w:b/>
          <w:bCs/>
          <w:color w:val="040404"/>
          <w:sz w:val="18"/>
          <w:szCs w:val="18"/>
          <w:lang w:eastAsia="fr-FR"/>
        </w:rPr>
        <w:t>Oumjneyeh</w:t>
      </w:r>
      <w:proofErr w:type="spellEnd"/>
      <w:r w:rsidRPr="003A5A05">
        <w:rPr>
          <w:rFonts w:ascii="Verdana" w:eastAsia="Times New Roman" w:hAnsi="Verdana" w:cs="Segoe UI"/>
          <w:b/>
          <w:bCs/>
          <w:color w:val="040404"/>
          <w:sz w:val="18"/>
          <w:szCs w:val="18"/>
          <w:lang w:eastAsia="fr-FR"/>
        </w:rPr>
        <w:t xml:space="preserve"> (Trarza) répartis comme suit :</w:t>
      </w:r>
    </w:p>
    <w:p w:rsidR="003A5A05" w:rsidRPr="003A5A05" w:rsidRDefault="003A5A05" w:rsidP="003A5A05">
      <w:pPr>
        <w:shd w:val="clear" w:color="auto" w:fill="FFFFFF"/>
        <w:spacing w:after="100" w:afterAutospacing="1" w:line="240" w:lineRule="auto"/>
        <w:ind w:left="60"/>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bl>
      <w:tblPr>
        <w:tblW w:w="1077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643"/>
        <w:gridCol w:w="510"/>
        <w:gridCol w:w="1482"/>
        <w:gridCol w:w="1244"/>
        <w:gridCol w:w="1511"/>
        <w:gridCol w:w="1258"/>
        <w:gridCol w:w="959"/>
        <w:gridCol w:w="1199"/>
        <w:gridCol w:w="1290"/>
        <w:gridCol w:w="674"/>
      </w:tblGrid>
      <w:tr w:rsidR="003A5A05" w:rsidRPr="003A5A05" w:rsidTr="003A5A05">
        <w:trPr>
          <w:trHeight w:val="450"/>
          <w:jc w:val="center"/>
        </w:trPr>
        <w:tc>
          <w:tcPr>
            <w:tcW w:w="6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color w:val="000000"/>
                <w:sz w:val="18"/>
                <w:szCs w:val="18"/>
                <w:lang w:eastAsia="fr-FR"/>
              </w:rPr>
              <w:t>N° LOT</w:t>
            </w:r>
          </w:p>
        </w:tc>
        <w:tc>
          <w:tcPr>
            <w:tcW w:w="510" w:type="dxa"/>
            <w:tcBorders>
              <w:top w:val="single" w:sz="6" w:space="0" w:color="000000"/>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color w:val="000000"/>
                <w:sz w:val="18"/>
                <w:szCs w:val="18"/>
                <w:lang w:eastAsia="fr-FR"/>
              </w:rPr>
              <w:t>N° SITE</w:t>
            </w:r>
          </w:p>
        </w:tc>
        <w:tc>
          <w:tcPr>
            <w:tcW w:w="1485" w:type="dxa"/>
            <w:tcBorders>
              <w:top w:val="single" w:sz="6" w:space="0" w:color="000000"/>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color w:val="000000"/>
                <w:sz w:val="18"/>
                <w:szCs w:val="18"/>
                <w:lang w:eastAsia="fr-FR"/>
              </w:rPr>
              <w:t>WILAYA</w:t>
            </w:r>
          </w:p>
        </w:tc>
        <w:tc>
          <w:tcPr>
            <w:tcW w:w="1245" w:type="dxa"/>
            <w:tcBorders>
              <w:top w:val="single" w:sz="6" w:space="0" w:color="000000"/>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color w:val="000000"/>
                <w:sz w:val="18"/>
                <w:szCs w:val="18"/>
                <w:lang w:eastAsia="fr-FR"/>
              </w:rPr>
              <w:t>MOUGHAT</w:t>
            </w:r>
          </w:p>
        </w:tc>
        <w:tc>
          <w:tcPr>
            <w:tcW w:w="1515" w:type="dxa"/>
            <w:tcBorders>
              <w:top w:val="single" w:sz="6" w:space="0" w:color="000000"/>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color w:val="000000"/>
                <w:sz w:val="18"/>
                <w:szCs w:val="18"/>
                <w:lang w:eastAsia="fr-FR"/>
              </w:rPr>
              <w:t>COMMUNE</w:t>
            </w:r>
          </w:p>
        </w:tc>
        <w:tc>
          <w:tcPr>
            <w:tcW w:w="1260" w:type="dxa"/>
            <w:tcBorders>
              <w:top w:val="single" w:sz="6" w:space="0" w:color="000000"/>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color w:val="000000"/>
                <w:sz w:val="18"/>
                <w:szCs w:val="18"/>
                <w:lang w:eastAsia="fr-FR"/>
              </w:rPr>
              <w:t>LOCALITE</w:t>
            </w:r>
          </w:p>
        </w:tc>
        <w:tc>
          <w:tcPr>
            <w:tcW w:w="960" w:type="dxa"/>
            <w:tcBorders>
              <w:top w:val="single" w:sz="6" w:space="0" w:color="000000"/>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color w:val="000000"/>
                <w:sz w:val="18"/>
                <w:szCs w:val="18"/>
                <w:lang w:eastAsia="fr-FR"/>
              </w:rPr>
              <w:t>FORAGE DE RECON</w:t>
            </w:r>
          </w:p>
        </w:tc>
        <w:tc>
          <w:tcPr>
            <w:tcW w:w="1200" w:type="dxa"/>
            <w:tcBorders>
              <w:top w:val="single" w:sz="6" w:space="0" w:color="000000"/>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color w:val="000000"/>
                <w:sz w:val="18"/>
                <w:szCs w:val="18"/>
                <w:lang w:eastAsia="fr-FR"/>
              </w:rPr>
              <w:t>LATITUDE (N)</w:t>
            </w:r>
          </w:p>
        </w:tc>
        <w:tc>
          <w:tcPr>
            <w:tcW w:w="1290" w:type="dxa"/>
            <w:tcBorders>
              <w:top w:val="single" w:sz="6" w:space="0" w:color="000000"/>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color w:val="000000"/>
                <w:sz w:val="18"/>
                <w:szCs w:val="18"/>
                <w:lang w:eastAsia="fr-FR"/>
              </w:rPr>
              <w:t>LONGITUDE (W)</w:t>
            </w:r>
          </w:p>
        </w:tc>
        <w:tc>
          <w:tcPr>
            <w:tcW w:w="675" w:type="dxa"/>
            <w:tcBorders>
              <w:top w:val="single" w:sz="6" w:space="0" w:color="000000"/>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b/>
                <w:bCs/>
                <w:color w:val="000000"/>
                <w:sz w:val="18"/>
                <w:szCs w:val="18"/>
                <w:lang w:eastAsia="fr-FR"/>
              </w:rPr>
              <w:t>PROF (M)</w:t>
            </w:r>
          </w:p>
        </w:tc>
      </w:tr>
      <w:tr w:rsidR="003A5A05" w:rsidRPr="003A5A05" w:rsidTr="003A5A05">
        <w:trPr>
          <w:trHeight w:val="255"/>
          <w:jc w:val="center"/>
        </w:trPr>
        <w:tc>
          <w:tcPr>
            <w:tcW w:w="645" w:type="dxa"/>
            <w:vMerge w:val="restart"/>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Lot 1</w:t>
            </w:r>
          </w:p>
        </w:tc>
        <w:tc>
          <w:tcPr>
            <w:tcW w:w="510"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w:t>
            </w:r>
          </w:p>
        </w:tc>
        <w:tc>
          <w:tcPr>
            <w:tcW w:w="148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Dakhlet</w:t>
            </w:r>
            <w:proofErr w:type="spellEnd"/>
            <w:r w:rsidRPr="003A5A05">
              <w:rPr>
                <w:rFonts w:ascii="Verdana" w:eastAsia="Times New Roman" w:hAnsi="Verdana" w:cs="Segoe UI"/>
                <w:color w:val="000000"/>
                <w:sz w:val="18"/>
                <w:szCs w:val="18"/>
                <w:lang w:eastAsia="fr-FR"/>
              </w:rPr>
              <w:t xml:space="preserve"> Nouadhibou</w:t>
            </w:r>
          </w:p>
        </w:tc>
        <w:tc>
          <w:tcPr>
            <w:tcW w:w="124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Nouadhibou</w:t>
            </w:r>
          </w:p>
        </w:tc>
        <w:tc>
          <w:tcPr>
            <w:tcW w:w="151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Boulenoir</w:t>
            </w:r>
            <w:proofErr w:type="spellEnd"/>
          </w:p>
        </w:tc>
        <w:tc>
          <w:tcPr>
            <w:tcW w:w="1260"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Boulenoir</w:t>
            </w:r>
            <w:proofErr w:type="spellEnd"/>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F1</w:t>
            </w:r>
          </w:p>
        </w:tc>
        <w:tc>
          <w:tcPr>
            <w:tcW w:w="120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21°00’57’’</w:t>
            </w:r>
          </w:p>
        </w:tc>
        <w:tc>
          <w:tcPr>
            <w:tcW w:w="129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16°19’54’’</w:t>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100</w:t>
            </w:r>
          </w:p>
        </w:tc>
      </w:tr>
      <w:tr w:rsidR="003A5A05" w:rsidRPr="003A5A05" w:rsidTr="003A5A05">
        <w:trPr>
          <w:trHeight w:val="25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F2</w:t>
            </w:r>
          </w:p>
        </w:tc>
        <w:tc>
          <w:tcPr>
            <w:tcW w:w="120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21°16’56.8’’</w:t>
            </w:r>
          </w:p>
        </w:tc>
        <w:tc>
          <w:tcPr>
            <w:tcW w:w="129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16°36’31.5’’</w:t>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100</w:t>
            </w:r>
          </w:p>
        </w:tc>
      </w:tr>
      <w:tr w:rsidR="003A5A05" w:rsidRPr="003A5A05" w:rsidTr="003A5A05">
        <w:trPr>
          <w:trHeight w:val="25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510"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2</w:t>
            </w:r>
          </w:p>
        </w:tc>
        <w:tc>
          <w:tcPr>
            <w:tcW w:w="148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Assaba</w:t>
            </w:r>
            <w:proofErr w:type="spellEnd"/>
          </w:p>
        </w:tc>
        <w:tc>
          <w:tcPr>
            <w:tcW w:w="124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Kiffa</w:t>
            </w:r>
          </w:p>
        </w:tc>
        <w:tc>
          <w:tcPr>
            <w:tcW w:w="151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Kiffa</w:t>
            </w:r>
          </w:p>
        </w:tc>
        <w:tc>
          <w:tcPr>
            <w:tcW w:w="1260"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Arch</w:t>
            </w:r>
            <w:proofErr w:type="spellEnd"/>
            <w:r w:rsidRPr="003A5A05">
              <w:rPr>
                <w:rFonts w:ascii="Verdana" w:eastAsia="Times New Roman" w:hAnsi="Verdana" w:cs="Segoe UI"/>
                <w:color w:val="000000"/>
                <w:sz w:val="18"/>
                <w:szCs w:val="18"/>
                <w:lang w:eastAsia="fr-FR"/>
              </w:rPr>
              <w:t xml:space="preserve"> </w:t>
            </w:r>
            <w:proofErr w:type="spellStart"/>
            <w:r w:rsidRPr="003A5A05">
              <w:rPr>
                <w:rFonts w:ascii="Verdana" w:eastAsia="Times New Roman" w:hAnsi="Verdana" w:cs="Segoe UI"/>
                <w:color w:val="000000"/>
                <w:sz w:val="18"/>
                <w:szCs w:val="18"/>
                <w:lang w:eastAsia="fr-FR"/>
              </w:rPr>
              <w:t>Talh</w:t>
            </w:r>
            <w:proofErr w:type="spellEnd"/>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F1</w:t>
            </w:r>
          </w:p>
        </w:tc>
        <w:tc>
          <w:tcPr>
            <w:tcW w:w="120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16.671478°</w:t>
            </w:r>
          </w:p>
        </w:tc>
        <w:tc>
          <w:tcPr>
            <w:tcW w:w="129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11.49615°</w:t>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110</w:t>
            </w:r>
          </w:p>
        </w:tc>
      </w:tr>
      <w:tr w:rsidR="003A5A05" w:rsidRPr="003A5A05" w:rsidTr="003A5A05">
        <w:trPr>
          <w:trHeight w:val="25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F2</w:t>
            </w:r>
          </w:p>
        </w:tc>
        <w:tc>
          <w:tcPr>
            <w:tcW w:w="120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16.669294°</w:t>
            </w:r>
          </w:p>
        </w:tc>
        <w:tc>
          <w:tcPr>
            <w:tcW w:w="129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11.500021°</w:t>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110</w:t>
            </w:r>
          </w:p>
        </w:tc>
      </w:tr>
      <w:tr w:rsidR="003A5A05" w:rsidRPr="003A5A05" w:rsidTr="003A5A05">
        <w:trPr>
          <w:trHeight w:val="25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510"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3</w:t>
            </w:r>
          </w:p>
        </w:tc>
        <w:tc>
          <w:tcPr>
            <w:tcW w:w="148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Trarza</w:t>
            </w:r>
          </w:p>
        </w:tc>
        <w:tc>
          <w:tcPr>
            <w:tcW w:w="124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Oued Naga</w:t>
            </w:r>
          </w:p>
        </w:tc>
        <w:tc>
          <w:tcPr>
            <w:tcW w:w="151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Aouleigatt</w:t>
            </w:r>
            <w:proofErr w:type="spellEnd"/>
          </w:p>
        </w:tc>
        <w:tc>
          <w:tcPr>
            <w:tcW w:w="1260"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Tenadi</w:t>
            </w:r>
            <w:proofErr w:type="spellEnd"/>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F1</w:t>
            </w:r>
          </w:p>
        </w:tc>
        <w:tc>
          <w:tcPr>
            <w:tcW w:w="120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15°07’55.4</w:t>
            </w:r>
          </w:p>
        </w:tc>
        <w:tc>
          <w:tcPr>
            <w:tcW w:w="129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17°52’00.2</w:t>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100</w:t>
            </w:r>
          </w:p>
        </w:tc>
      </w:tr>
      <w:tr w:rsidR="003A5A05" w:rsidRPr="003A5A05" w:rsidTr="003A5A05">
        <w:trPr>
          <w:trHeight w:val="25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F2</w:t>
            </w:r>
          </w:p>
        </w:tc>
        <w:tc>
          <w:tcPr>
            <w:tcW w:w="120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15°07’55.4</w:t>
            </w:r>
          </w:p>
        </w:tc>
        <w:tc>
          <w:tcPr>
            <w:tcW w:w="129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17°52’00.2</w:t>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100</w:t>
            </w:r>
          </w:p>
        </w:tc>
      </w:tr>
      <w:tr w:rsidR="003A5A05" w:rsidRPr="003A5A05" w:rsidTr="003A5A05">
        <w:trPr>
          <w:trHeight w:val="25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510"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4</w:t>
            </w:r>
          </w:p>
        </w:tc>
        <w:tc>
          <w:tcPr>
            <w:tcW w:w="148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Trarza</w:t>
            </w:r>
          </w:p>
        </w:tc>
        <w:tc>
          <w:tcPr>
            <w:tcW w:w="124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M’</w:t>
            </w:r>
            <w:proofErr w:type="spellStart"/>
            <w:r w:rsidRPr="003A5A05">
              <w:rPr>
                <w:rFonts w:ascii="Verdana" w:eastAsia="Times New Roman" w:hAnsi="Verdana" w:cs="Segoe UI"/>
                <w:color w:val="000000"/>
                <w:sz w:val="18"/>
                <w:szCs w:val="18"/>
                <w:lang w:eastAsia="fr-FR"/>
              </w:rPr>
              <w:t>Balal</w:t>
            </w:r>
            <w:proofErr w:type="spellEnd"/>
          </w:p>
        </w:tc>
        <w:tc>
          <w:tcPr>
            <w:tcW w:w="1515"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Keur</w:t>
            </w:r>
            <w:proofErr w:type="spellEnd"/>
            <w:r w:rsidRPr="003A5A05">
              <w:rPr>
                <w:rFonts w:ascii="Verdana" w:eastAsia="Times New Roman" w:hAnsi="Verdana" w:cs="Segoe UI"/>
                <w:color w:val="000000"/>
                <w:sz w:val="18"/>
                <w:szCs w:val="18"/>
                <w:lang w:eastAsia="fr-FR"/>
              </w:rPr>
              <w:t xml:space="preserve"> </w:t>
            </w:r>
            <w:proofErr w:type="spellStart"/>
            <w:r w:rsidRPr="003A5A05">
              <w:rPr>
                <w:rFonts w:ascii="Verdana" w:eastAsia="Times New Roman" w:hAnsi="Verdana" w:cs="Segoe UI"/>
                <w:color w:val="000000"/>
                <w:sz w:val="18"/>
                <w:szCs w:val="18"/>
                <w:lang w:eastAsia="fr-FR"/>
              </w:rPr>
              <w:t>Macène</w:t>
            </w:r>
            <w:proofErr w:type="spellEnd"/>
          </w:p>
        </w:tc>
        <w:tc>
          <w:tcPr>
            <w:tcW w:w="1260" w:type="dxa"/>
            <w:vMerge w:val="restart"/>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Nebeket</w:t>
            </w:r>
            <w:proofErr w:type="spellEnd"/>
            <w:r w:rsidRPr="003A5A05">
              <w:rPr>
                <w:rFonts w:ascii="Verdana" w:eastAsia="Times New Roman" w:hAnsi="Verdana" w:cs="Segoe UI"/>
                <w:color w:val="000000"/>
                <w:sz w:val="18"/>
                <w:szCs w:val="18"/>
                <w:lang w:eastAsia="fr-FR"/>
              </w:rPr>
              <w:t xml:space="preserve"> </w:t>
            </w:r>
            <w:proofErr w:type="spellStart"/>
            <w:r w:rsidRPr="003A5A05">
              <w:rPr>
                <w:rFonts w:ascii="Verdana" w:eastAsia="Times New Roman" w:hAnsi="Verdana" w:cs="Segoe UI"/>
                <w:color w:val="000000"/>
                <w:sz w:val="18"/>
                <w:szCs w:val="18"/>
                <w:lang w:eastAsia="fr-FR"/>
              </w:rPr>
              <w:t>Lekbach</w:t>
            </w:r>
            <w:proofErr w:type="spellEnd"/>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F1</w:t>
            </w:r>
          </w:p>
        </w:tc>
        <w:tc>
          <w:tcPr>
            <w:tcW w:w="1200" w:type="dxa"/>
            <w:tcBorders>
              <w:top w:val="nil"/>
              <w:left w:val="nil"/>
              <w:bottom w:val="single" w:sz="6" w:space="0" w:color="000000"/>
              <w:right w:val="single" w:sz="6" w:space="0" w:color="000000"/>
            </w:tcBorders>
            <w:shd w:val="clear" w:color="auto" w:fill="FFFFFF"/>
            <w:hideMark/>
          </w:tcPr>
          <w:p w:rsidR="003A5A05" w:rsidRPr="003A5A05" w:rsidRDefault="003A5A05" w:rsidP="003A5A05">
            <w:pPr>
              <w:spacing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16°57’6.5’’</w:t>
            </w:r>
          </w:p>
        </w:tc>
        <w:tc>
          <w:tcPr>
            <w:tcW w:w="1290" w:type="dxa"/>
            <w:tcBorders>
              <w:top w:val="nil"/>
              <w:left w:val="nil"/>
              <w:bottom w:val="single" w:sz="6" w:space="0" w:color="000000"/>
              <w:right w:val="single" w:sz="6" w:space="0" w:color="000000"/>
            </w:tcBorders>
            <w:shd w:val="clear" w:color="auto" w:fill="FFFFFF"/>
            <w:hideMark/>
          </w:tcPr>
          <w:p w:rsidR="003A5A05" w:rsidRPr="003A5A05" w:rsidRDefault="003A5A05" w:rsidP="003A5A05">
            <w:pPr>
              <w:spacing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16°03’6.3’’</w:t>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42</w:t>
            </w:r>
          </w:p>
        </w:tc>
      </w:tr>
      <w:tr w:rsidR="003A5A05" w:rsidRPr="003A5A05" w:rsidTr="003A5A05">
        <w:trPr>
          <w:trHeight w:val="25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F2</w:t>
            </w:r>
          </w:p>
        </w:tc>
        <w:tc>
          <w:tcPr>
            <w:tcW w:w="1200" w:type="dxa"/>
            <w:tcBorders>
              <w:top w:val="nil"/>
              <w:left w:val="nil"/>
              <w:bottom w:val="single" w:sz="6" w:space="0" w:color="000000"/>
              <w:right w:val="single" w:sz="6" w:space="0" w:color="000000"/>
            </w:tcBorders>
            <w:shd w:val="clear" w:color="auto" w:fill="FFFFFF"/>
            <w:hideMark/>
          </w:tcPr>
          <w:p w:rsidR="003A5A05" w:rsidRPr="003A5A05" w:rsidRDefault="003A5A05" w:rsidP="003A5A05">
            <w:pPr>
              <w:spacing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16°57’05.5’’</w:t>
            </w:r>
          </w:p>
        </w:tc>
        <w:tc>
          <w:tcPr>
            <w:tcW w:w="1290" w:type="dxa"/>
            <w:tcBorders>
              <w:top w:val="nil"/>
              <w:left w:val="nil"/>
              <w:bottom w:val="single" w:sz="6" w:space="0" w:color="000000"/>
              <w:right w:val="single" w:sz="6" w:space="0" w:color="000000"/>
            </w:tcBorders>
            <w:shd w:val="clear" w:color="auto" w:fill="FFFFFF"/>
            <w:hideMark/>
          </w:tcPr>
          <w:p w:rsidR="003A5A05" w:rsidRPr="003A5A05" w:rsidRDefault="003A5A05" w:rsidP="003A5A05">
            <w:pPr>
              <w:spacing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16°02’59.5’’</w:t>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42</w:t>
            </w:r>
          </w:p>
        </w:tc>
      </w:tr>
      <w:tr w:rsidR="003A5A05" w:rsidRPr="003A5A05" w:rsidTr="003A5A05">
        <w:trPr>
          <w:trHeight w:val="25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0" w:type="auto"/>
            <w:vMerge/>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F3</w:t>
            </w:r>
          </w:p>
        </w:tc>
        <w:tc>
          <w:tcPr>
            <w:tcW w:w="1200" w:type="dxa"/>
            <w:tcBorders>
              <w:top w:val="nil"/>
              <w:left w:val="nil"/>
              <w:bottom w:val="single" w:sz="6" w:space="0" w:color="000000"/>
              <w:right w:val="single" w:sz="6" w:space="0" w:color="000000"/>
            </w:tcBorders>
            <w:shd w:val="clear" w:color="auto" w:fill="FFFFFF"/>
            <w:hideMark/>
          </w:tcPr>
          <w:p w:rsidR="003A5A05" w:rsidRPr="003A5A05" w:rsidRDefault="003A5A05" w:rsidP="003A5A05">
            <w:pPr>
              <w:spacing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16°57’14.2’’</w:t>
            </w:r>
          </w:p>
        </w:tc>
        <w:tc>
          <w:tcPr>
            <w:tcW w:w="1290" w:type="dxa"/>
            <w:tcBorders>
              <w:top w:val="nil"/>
              <w:left w:val="nil"/>
              <w:bottom w:val="single" w:sz="6" w:space="0" w:color="000000"/>
              <w:right w:val="single" w:sz="6" w:space="0" w:color="000000"/>
            </w:tcBorders>
            <w:shd w:val="clear" w:color="auto" w:fill="FFFFFF"/>
            <w:hideMark/>
          </w:tcPr>
          <w:p w:rsidR="003A5A05" w:rsidRPr="003A5A05" w:rsidRDefault="003A5A05" w:rsidP="003A5A05">
            <w:pPr>
              <w:spacing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16°02’58.3’’</w:t>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42</w:t>
            </w:r>
          </w:p>
        </w:tc>
      </w:tr>
      <w:tr w:rsidR="003A5A05" w:rsidRPr="003A5A05" w:rsidTr="003A5A05">
        <w:trPr>
          <w:trHeight w:val="255"/>
          <w:jc w:val="center"/>
        </w:trPr>
        <w:tc>
          <w:tcPr>
            <w:tcW w:w="645" w:type="dxa"/>
            <w:vMerge w:val="restart"/>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Lot 2</w:t>
            </w:r>
          </w:p>
        </w:tc>
        <w:tc>
          <w:tcPr>
            <w:tcW w:w="51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1</w:t>
            </w:r>
          </w:p>
        </w:tc>
        <w:tc>
          <w:tcPr>
            <w:tcW w:w="148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Trarza</w:t>
            </w:r>
          </w:p>
        </w:tc>
        <w:tc>
          <w:tcPr>
            <w:tcW w:w="124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Tguent</w:t>
            </w:r>
            <w:proofErr w:type="spellEnd"/>
          </w:p>
        </w:tc>
        <w:tc>
          <w:tcPr>
            <w:tcW w:w="151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Tiguent</w:t>
            </w:r>
            <w:proofErr w:type="spellEnd"/>
          </w:p>
        </w:tc>
        <w:tc>
          <w:tcPr>
            <w:tcW w:w="12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Oumjneyeh</w:t>
            </w:r>
            <w:proofErr w:type="spellEnd"/>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c>
          <w:tcPr>
            <w:tcW w:w="129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r>
      <w:tr w:rsidR="003A5A05" w:rsidRPr="003A5A05" w:rsidTr="003A5A05">
        <w:trPr>
          <w:trHeight w:val="25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51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2</w:t>
            </w:r>
          </w:p>
        </w:tc>
        <w:tc>
          <w:tcPr>
            <w:tcW w:w="148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Hodh</w:t>
            </w:r>
            <w:proofErr w:type="spellEnd"/>
            <w:r w:rsidRPr="003A5A05">
              <w:rPr>
                <w:rFonts w:ascii="Verdana" w:eastAsia="Times New Roman" w:hAnsi="Verdana" w:cs="Segoe UI"/>
                <w:color w:val="000000"/>
                <w:sz w:val="18"/>
                <w:szCs w:val="18"/>
                <w:lang w:eastAsia="fr-FR"/>
              </w:rPr>
              <w:t xml:space="preserve"> </w:t>
            </w:r>
            <w:proofErr w:type="spellStart"/>
            <w:r w:rsidRPr="003A5A05">
              <w:rPr>
                <w:rFonts w:ascii="Verdana" w:eastAsia="Times New Roman" w:hAnsi="Verdana" w:cs="Segoe UI"/>
                <w:color w:val="000000"/>
                <w:sz w:val="18"/>
                <w:szCs w:val="18"/>
                <w:lang w:eastAsia="fr-FR"/>
              </w:rPr>
              <w:t>Chargui</w:t>
            </w:r>
            <w:proofErr w:type="spellEnd"/>
          </w:p>
        </w:tc>
        <w:tc>
          <w:tcPr>
            <w:tcW w:w="124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Djiguenni</w:t>
            </w:r>
            <w:proofErr w:type="spellEnd"/>
          </w:p>
        </w:tc>
        <w:tc>
          <w:tcPr>
            <w:tcW w:w="151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Aoueinatt</w:t>
            </w:r>
            <w:proofErr w:type="spellEnd"/>
            <w:r w:rsidRPr="003A5A05">
              <w:rPr>
                <w:rFonts w:ascii="Verdana" w:eastAsia="Times New Roman" w:hAnsi="Verdana" w:cs="Segoe UI"/>
                <w:color w:val="000000"/>
                <w:sz w:val="18"/>
                <w:szCs w:val="18"/>
                <w:lang w:eastAsia="fr-FR"/>
              </w:rPr>
              <w:t xml:space="preserve"> </w:t>
            </w:r>
            <w:proofErr w:type="spellStart"/>
            <w:r w:rsidRPr="003A5A05">
              <w:rPr>
                <w:rFonts w:ascii="Verdana" w:eastAsia="Times New Roman" w:hAnsi="Verdana" w:cs="Segoe UI"/>
                <w:color w:val="000000"/>
                <w:sz w:val="18"/>
                <w:szCs w:val="18"/>
                <w:lang w:eastAsia="fr-FR"/>
              </w:rPr>
              <w:t>Ezbel</w:t>
            </w:r>
            <w:proofErr w:type="spellEnd"/>
          </w:p>
        </w:tc>
        <w:tc>
          <w:tcPr>
            <w:tcW w:w="12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Hassi</w:t>
            </w:r>
            <w:proofErr w:type="spellEnd"/>
            <w:r w:rsidRPr="003A5A05">
              <w:rPr>
                <w:rFonts w:ascii="Verdana" w:eastAsia="Times New Roman" w:hAnsi="Verdana" w:cs="Segoe UI"/>
                <w:color w:val="000000"/>
                <w:sz w:val="18"/>
                <w:szCs w:val="18"/>
                <w:lang w:eastAsia="fr-FR"/>
              </w:rPr>
              <w:t xml:space="preserve"> </w:t>
            </w:r>
            <w:proofErr w:type="spellStart"/>
            <w:r w:rsidRPr="003A5A05">
              <w:rPr>
                <w:rFonts w:ascii="Verdana" w:eastAsia="Times New Roman" w:hAnsi="Verdana" w:cs="Segoe UI"/>
                <w:color w:val="000000"/>
                <w:sz w:val="18"/>
                <w:szCs w:val="18"/>
                <w:lang w:eastAsia="fr-FR"/>
              </w:rPr>
              <w:t>Ehel</w:t>
            </w:r>
            <w:proofErr w:type="spellEnd"/>
            <w:r w:rsidRPr="003A5A05">
              <w:rPr>
                <w:rFonts w:ascii="Verdana" w:eastAsia="Times New Roman" w:hAnsi="Verdana" w:cs="Segoe UI"/>
                <w:color w:val="000000"/>
                <w:sz w:val="18"/>
                <w:szCs w:val="18"/>
                <w:lang w:eastAsia="fr-FR"/>
              </w:rPr>
              <w:t xml:space="preserve"> Abdi 2</w:t>
            </w:r>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c>
          <w:tcPr>
            <w:tcW w:w="129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r>
      <w:tr w:rsidR="003A5A05" w:rsidRPr="003A5A05" w:rsidTr="003A5A05">
        <w:trPr>
          <w:trHeight w:val="25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3A5A05" w:rsidRPr="003A5A05" w:rsidRDefault="003A5A05" w:rsidP="003A5A05">
            <w:pPr>
              <w:spacing w:line="240" w:lineRule="auto"/>
              <w:rPr>
                <w:rFonts w:ascii="Segoe UI" w:eastAsia="Times New Roman" w:hAnsi="Segoe UI" w:cs="Segoe UI"/>
                <w:color w:val="040404"/>
                <w:sz w:val="21"/>
                <w:szCs w:val="21"/>
                <w:lang w:eastAsia="fr-FR"/>
              </w:rPr>
            </w:pPr>
          </w:p>
        </w:tc>
        <w:tc>
          <w:tcPr>
            <w:tcW w:w="51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3</w:t>
            </w:r>
          </w:p>
        </w:tc>
        <w:tc>
          <w:tcPr>
            <w:tcW w:w="148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Trarza</w:t>
            </w:r>
          </w:p>
        </w:tc>
        <w:tc>
          <w:tcPr>
            <w:tcW w:w="124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Boutilimit</w:t>
            </w:r>
          </w:p>
        </w:tc>
        <w:tc>
          <w:tcPr>
            <w:tcW w:w="151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proofErr w:type="spellStart"/>
            <w:r w:rsidRPr="003A5A05">
              <w:rPr>
                <w:rFonts w:ascii="Verdana" w:eastAsia="Times New Roman" w:hAnsi="Verdana" w:cs="Segoe UI"/>
                <w:color w:val="000000"/>
                <w:sz w:val="18"/>
                <w:szCs w:val="18"/>
                <w:lang w:eastAsia="fr-FR"/>
              </w:rPr>
              <w:t>Nebaghia</w:t>
            </w:r>
            <w:proofErr w:type="spellEnd"/>
          </w:p>
        </w:tc>
        <w:tc>
          <w:tcPr>
            <w:tcW w:w="12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rPr>
                <w:rFonts w:ascii="Segoe UI" w:eastAsia="Times New Roman" w:hAnsi="Segoe UI" w:cs="Segoe UI"/>
                <w:color w:val="040404"/>
                <w:sz w:val="21"/>
                <w:szCs w:val="21"/>
                <w:lang w:eastAsia="fr-FR"/>
              </w:rPr>
            </w:pPr>
            <w:r w:rsidRPr="003A5A05">
              <w:rPr>
                <w:rFonts w:ascii="Verdana" w:eastAsia="Times New Roman" w:hAnsi="Verdana" w:cs="Segoe UI"/>
                <w:color w:val="000000"/>
                <w:sz w:val="18"/>
                <w:szCs w:val="18"/>
                <w:lang w:eastAsia="fr-FR"/>
              </w:rPr>
              <w:t xml:space="preserve">Tin </w:t>
            </w:r>
            <w:proofErr w:type="spellStart"/>
            <w:r w:rsidRPr="003A5A05">
              <w:rPr>
                <w:rFonts w:ascii="Verdana" w:eastAsia="Times New Roman" w:hAnsi="Verdana" w:cs="Segoe UI"/>
                <w:color w:val="000000"/>
                <w:sz w:val="18"/>
                <w:szCs w:val="18"/>
                <w:lang w:eastAsia="fr-FR"/>
              </w:rPr>
              <w:t>Beinougua</w:t>
            </w:r>
            <w:proofErr w:type="spellEnd"/>
          </w:p>
        </w:tc>
        <w:tc>
          <w:tcPr>
            <w:tcW w:w="96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c>
          <w:tcPr>
            <w:tcW w:w="120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c>
          <w:tcPr>
            <w:tcW w:w="1290"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c>
          <w:tcPr>
            <w:tcW w:w="675" w:type="dxa"/>
            <w:tcBorders>
              <w:top w:val="nil"/>
              <w:left w:val="nil"/>
              <w:bottom w:val="single" w:sz="6" w:space="0" w:color="000000"/>
              <w:right w:val="single" w:sz="6" w:space="0" w:color="000000"/>
            </w:tcBorders>
            <w:shd w:val="clear" w:color="auto" w:fill="FFFFFF"/>
            <w:vAlign w:val="center"/>
            <w:hideMark/>
          </w:tcPr>
          <w:p w:rsidR="003A5A05" w:rsidRPr="003A5A05" w:rsidRDefault="003A5A05" w:rsidP="003A5A05">
            <w:pPr>
              <w:spacing w:after="100" w:afterAutospacing="1" w:line="240" w:lineRule="auto"/>
              <w:jc w:val="center"/>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tc>
      </w:tr>
    </w:tbl>
    <w:p w:rsidR="003A5A05" w:rsidRPr="003A5A05" w:rsidRDefault="003A5A05" w:rsidP="003A5A05">
      <w:pPr>
        <w:shd w:val="clear" w:color="auto" w:fill="FFFFFF"/>
        <w:spacing w:after="100" w:afterAutospacing="1" w:line="240" w:lineRule="auto"/>
        <w:ind w:left="720"/>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p w:rsidR="003A5A05" w:rsidRPr="003A5A05" w:rsidRDefault="003A5A05" w:rsidP="003A5A05">
      <w:pPr>
        <w:shd w:val="clear" w:color="auto" w:fill="FFFFFF"/>
        <w:spacing w:after="100" w:afterAutospacing="1" w:line="240" w:lineRule="auto"/>
        <w:ind w:left="720"/>
        <w:jc w:val="both"/>
        <w:rPr>
          <w:rFonts w:ascii="Segoe UI" w:eastAsia="Times New Roman" w:hAnsi="Segoe UI" w:cs="Segoe UI"/>
          <w:color w:val="040404"/>
          <w:sz w:val="21"/>
          <w:szCs w:val="21"/>
          <w:lang w:eastAsia="fr-FR"/>
        </w:rPr>
      </w:pPr>
      <w:r w:rsidRPr="003A5A05">
        <w:rPr>
          <w:rFonts w:ascii="Verdana" w:eastAsia="Times New Roman" w:hAnsi="Verdana" w:cs="Segoe UI"/>
          <w:b/>
          <w:bCs/>
          <w:i/>
          <w:iCs/>
          <w:color w:val="040404"/>
          <w:sz w:val="18"/>
          <w:szCs w:val="18"/>
          <w:lang w:eastAsia="fr-FR"/>
        </w:rPr>
        <w:t>Le Soumissionnaire peut être attributaire plusieurs  lots à la fois  s’il répond cumulativement aux critères de chaque lot.</w:t>
      </w:r>
    </w:p>
    <w:p w:rsidR="003A5A05" w:rsidRPr="003A5A05" w:rsidRDefault="003A5A05" w:rsidP="003A5A05">
      <w:pPr>
        <w:numPr>
          <w:ilvl w:val="0"/>
          <w:numId w:val="28"/>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lastRenderedPageBreak/>
        <w:t>Le présent appel d’offres est un Appel d’offres </w:t>
      </w:r>
      <w:r w:rsidRPr="003A5A05">
        <w:rPr>
          <w:rFonts w:ascii="Verdana" w:eastAsia="Times New Roman" w:hAnsi="Verdana" w:cs="Segoe UI"/>
          <w:b/>
          <w:bCs/>
          <w:color w:val="040404"/>
          <w:sz w:val="18"/>
          <w:szCs w:val="18"/>
          <w:lang w:eastAsia="fr-FR"/>
        </w:rPr>
        <w:t>National ouvert</w:t>
      </w:r>
    </w:p>
    <w:p w:rsidR="003A5A05" w:rsidRPr="003A5A05" w:rsidRDefault="003A5A05" w:rsidP="003A5A05">
      <w:pPr>
        <w:numPr>
          <w:ilvl w:val="0"/>
          <w:numId w:val="29"/>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Le présent appel d'offres est ouvert à tous les candidats remplissant les conditions définies dans le Dossier d'Appel d'Offres.</w:t>
      </w:r>
    </w:p>
    <w:p w:rsidR="003A5A05" w:rsidRPr="003A5A05" w:rsidRDefault="003A5A05" w:rsidP="003A5A05">
      <w:pPr>
        <w:shd w:val="clear" w:color="auto" w:fill="FFFFFF"/>
        <w:spacing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Les candidats intéressés peuvent obtenir des informations auprès </w:t>
      </w:r>
      <w:r w:rsidRPr="003A5A05">
        <w:rPr>
          <w:rFonts w:ascii="Verdana" w:eastAsia="Times New Roman" w:hAnsi="Verdana" w:cs="Segoe UI"/>
          <w:b/>
          <w:bCs/>
          <w:color w:val="040404"/>
          <w:sz w:val="18"/>
          <w:szCs w:val="18"/>
          <w:lang w:eastAsia="fr-FR"/>
        </w:rPr>
        <w:t xml:space="preserve">de la Délégation Générale à la Solidarité Nationale et à la Lutte Contre l’Exclusion ilot </w:t>
      </w:r>
      <w:proofErr w:type="spellStart"/>
      <w:r w:rsidRPr="003A5A05">
        <w:rPr>
          <w:rFonts w:ascii="Verdana" w:eastAsia="Times New Roman" w:hAnsi="Verdana" w:cs="Segoe UI"/>
          <w:b/>
          <w:bCs/>
          <w:color w:val="040404"/>
          <w:sz w:val="18"/>
          <w:szCs w:val="18"/>
          <w:lang w:eastAsia="fr-FR"/>
        </w:rPr>
        <w:t>Kext</w:t>
      </w:r>
      <w:proofErr w:type="spellEnd"/>
      <w:r w:rsidRPr="003A5A05">
        <w:rPr>
          <w:rFonts w:ascii="Verdana" w:eastAsia="Times New Roman" w:hAnsi="Verdana" w:cs="Segoe UI"/>
          <w:b/>
          <w:bCs/>
          <w:color w:val="040404"/>
          <w:sz w:val="18"/>
          <w:szCs w:val="18"/>
          <w:lang w:eastAsia="fr-FR"/>
        </w:rPr>
        <w:t xml:space="preserve"> S2-232bis, Tél. : 45 24 38 88/4524 38 99, </w:t>
      </w:r>
      <w:r w:rsidRPr="003A5A05">
        <w:rPr>
          <w:rFonts w:ascii="Verdana" w:eastAsia="Times New Roman" w:hAnsi="Verdana" w:cs="Segoe UI"/>
          <w:color w:val="040404"/>
          <w:sz w:val="18"/>
          <w:szCs w:val="18"/>
          <w:lang w:eastAsia="fr-FR"/>
        </w:rPr>
        <w:t>et prendre connaissance des documents d’Appel d’offres à l’adresse mentionnée ci-après </w:t>
      </w:r>
      <w:r w:rsidRPr="003A5A05">
        <w:rPr>
          <w:rFonts w:ascii="Verdana" w:eastAsia="Times New Roman" w:hAnsi="Verdana" w:cs="Segoe UI"/>
          <w:b/>
          <w:bCs/>
          <w:color w:val="040404"/>
          <w:sz w:val="18"/>
          <w:szCs w:val="18"/>
          <w:lang w:eastAsia="fr-FR"/>
        </w:rPr>
        <w:t>Commission de Passation des Marchés Publics (CPMP/TAAZOUR) TVZ B Nord, Ilot 105, en de guichet unique, Nouakchott, Mauritanie</w:t>
      </w:r>
    </w:p>
    <w:p w:rsidR="003A5A05" w:rsidRPr="003A5A05" w:rsidRDefault="003A5A05" w:rsidP="003A5A05">
      <w:pPr>
        <w:numPr>
          <w:ilvl w:val="0"/>
          <w:numId w:val="30"/>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Les exigences en matière de qualification sont pour chaque lot :</w:t>
      </w:r>
    </w:p>
    <w:p w:rsidR="003A5A05" w:rsidRPr="003A5A05" w:rsidRDefault="003A5A05" w:rsidP="003A5A05">
      <w:pPr>
        <w:numPr>
          <w:ilvl w:val="0"/>
          <w:numId w:val="31"/>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Avoir effectivement exécuté en tant qu’entreprise principale, au cours des Cinq (5) dernières années, </w:t>
      </w:r>
      <w:r w:rsidRPr="003A5A05">
        <w:rPr>
          <w:rFonts w:ascii="Verdana" w:eastAsia="Times New Roman" w:hAnsi="Verdana" w:cs="Segoe UI"/>
          <w:b/>
          <w:bCs/>
          <w:color w:val="040404"/>
          <w:sz w:val="18"/>
          <w:szCs w:val="18"/>
          <w:lang w:eastAsia="fr-FR"/>
        </w:rPr>
        <w:t xml:space="preserve">au moins deux marchés similaires, au lot </w:t>
      </w:r>
      <w:proofErr w:type="spellStart"/>
      <w:r w:rsidRPr="003A5A05">
        <w:rPr>
          <w:rFonts w:ascii="Verdana" w:eastAsia="Times New Roman" w:hAnsi="Verdana" w:cs="Segoe UI"/>
          <w:b/>
          <w:bCs/>
          <w:color w:val="040404"/>
          <w:sz w:val="18"/>
          <w:szCs w:val="18"/>
          <w:lang w:eastAsia="fr-FR"/>
        </w:rPr>
        <w:t>au quel</w:t>
      </w:r>
      <w:proofErr w:type="spellEnd"/>
      <w:r w:rsidRPr="003A5A05">
        <w:rPr>
          <w:rFonts w:ascii="Verdana" w:eastAsia="Times New Roman" w:hAnsi="Verdana" w:cs="Segoe UI"/>
          <w:b/>
          <w:bCs/>
          <w:color w:val="040404"/>
          <w:sz w:val="18"/>
          <w:szCs w:val="18"/>
          <w:lang w:eastAsia="fr-FR"/>
        </w:rPr>
        <w:t xml:space="preserve"> le candidat soumissionne, attestés par un Maître d’Ouvrage public ou parapublic (forages d’exploitation d’eau potable pour les lots 1 et des AEP pour le lot 2), </w:t>
      </w:r>
      <w:r w:rsidRPr="003A5A05">
        <w:rPr>
          <w:rFonts w:ascii="Verdana" w:eastAsia="Times New Roman" w:hAnsi="Verdana" w:cs="Segoe UI"/>
          <w:color w:val="040404"/>
          <w:sz w:val="18"/>
          <w:szCs w:val="18"/>
          <w:lang w:eastAsia="fr-FR"/>
        </w:rPr>
        <w:t>qui ont été exécutées et achevées de manière satisfaisante, et qui sont similaires aux travaux proposés. La similitude portera sur la taille physique, la complexité, les méthodes/technologies ou autres caractéristiques telles que décrites dans la Section V, Spécifications des Travaux.,</w:t>
      </w:r>
    </w:p>
    <w:p w:rsidR="003A5A05" w:rsidRPr="003A5A05" w:rsidRDefault="003A5A05" w:rsidP="003A5A05">
      <w:pPr>
        <w:numPr>
          <w:ilvl w:val="0"/>
          <w:numId w:val="31"/>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Avoir réalisé un chiffre d’affaires moyen annuel au cours des 5 dernières années, supérieur ou égal à :</w:t>
      </w:r>
    </w:p>
    <w:p w:rsidR="003A5A05" w:rsidRPr="003A5A05" w:rsidRDefault="003A5A05" w:rsidP="003A5A05">
      <w:pPr>
        <w:numPr>
          <w:ilvl w:val="0"/>
          <w:numId w:val="32"/>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shd w:val="clear" w:color="auto" w:fill="FFFF00"/>
          <w:lang w:eastAsia="fr-FR"/>
        </w:rPr>
        <w:t>Lot 1 : 21.000.000 MRU</w:t>
      </w:r>
    </w:p>
    <w:p w:rsidR="003A5A05" w:rsidRPr="003A5A05" w:rsidRDefault="003A5A05" w:rsidP="003A5A05">
      <w:pPr>
        <w:numPr>
          <w:ilvl w:val="0"/>
          <w:numId w:val="32"/>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shd w:val="clear" w:color="auto" w:fill="FFFF00"/>
          <w:lang w:eastAsia="fr-FR"/>
        </w:rPr>
        <w:t>Lot 2 : 35.000.000 MRU</w:t>
      </w:r>
    </w:p>
    <w:p w:rsidR="003A5A05" w:rsidRPr="003A5A05" w:rsidRDefault="003A5A05" w:rsidP="003A5A05">
      <w:pPr>
        <w:shd w:val="clear" w:color="auto" w:fill="FFFFFF"/>
        <w:spacing w:after="100" w:afterAutospacing="1" w:line="240" w:lineRule="auto"/>
        <w:ind w:left="1425"/>
        <w:jc w:val="both"/>
        <w:rPr>
          <w:rFonts w:ascii="Segoe UI" w:eastAsia="Times New Roman" w:hAnsi="Segoe UI" w:cs="Segoe UI"/>
          <w:color w:val="040404"/>
          <w:sz w:val="21"/>
          <w:szCs w:val="21"/>
          <w:lang w:eastAsia="fr-FR"/>
        </w:rPr>
      </w:pPr>
      <w:proofErr w:type="gramStart"/>
      <w:r w:rsidRPr="003A5A05">
        <w:rPr>
          <w:rFonts w:ascii="Verdana" w:eastAsia="Times New Roman" w:hAnsi="Verdana" w:cs="Segoe UI"/>
          <w:color w:val="040404"/>
          <w:sz w:val="18"/>
          <w:szCs w:val="18"/>
          <w:lang w:eastAsia="fr-FR"/>
        </w:rPr>
        <w:t>et</w:t>
      </w:r>
      <w:proofErr w:type="gramEnd"/>
      <w:r w:rsidRPr="003A5A05">
        <w:rPr>
          <w:rFonts w:ascii="Verdana" w:eastAsia="Times New Roman" w:hAnsi="Verdana" w:cs="Segoe UI"/>
          <w:color w:val="040404"/>
          <w:sz w:val="18"/>
          <w:szCs w:val="18"/>
          <w:lang w:eastAsia="fr-FR"/>
        </w:rPr>
        <w:t xml:space="preserve"> ce pour des travaux de construction attestés par un Maître d’Ouvrage public ou parapublic.</w:t>
      </w:r>
    </w:p>
    <w:p w:rsidR="003A5A05" w:rsidRPr="003A5A05" w:rsidRDefault="003A5A05" w:rsidP="003A5A05">
      <w:pPr>
        <w:numPr>
          <w:ilvl w:val="0"/>
          <w:numId w:val="33"/>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Disposer du matériel minimum décrit au Règlement Particulier de l’Appel d’Offres ;</w:t>
      </w:r>
    </w:p>
    <w:p w:rsidR="003A5A05" w:rsidRPr="003A5A05" w:rsidRDefault="003A5A05" w:rsidP="003A5A05">
      <w:pPr>
        <w:numPr>
          <w:ilvl w:val="0"/>
          <w:numId w:val="33"/>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Proposer le personnel clé décrit au Règlement Particulier de l’Appel d’Offres ;</w:t>
      </w:r>
    </w:p>
    <w:p w:rsidR="003A5A05" w:rsidRPr="003A5A05" w:rsidRDefault="003A5A05" w:rsidP="003A5A05">
      <w:pPr>
        <w:numPr>
          <w:ilvl w:val="0"/>
          <w:numId w:val="33"/>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Disposer d’une attestation de financement bancaire d’un montant de ;</w:t>
      </w:r>
    </w:p>
    <w:p w:rsidR="003A5A05" w:rsidRPr="003A5A05" w:rsidRDefault="003A5A05" w:rsidP="003A5A05">
      <w:pPr>
        <w:numPr>
          <w:ilvl w:val="0"/>
          <w:numId w:val="34"/>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shd w:val="clear" w:color="auto" w:fill="FFFF00"/>
          <w:lang w:eastAsia="fr-FR"/>
        </w:rPr>
        <w:t>Lot 1 : 2 400.000 MRU</w:t>
      </w:r>
    </w:p>
    <w:p w:rsidR="003A5A05" w:rsidRPr="003A5A05" w:rsidRDefault="003A5A05" w:rsidP="003A5A05">
      <w:pPr>
        <w:numPr>
          <w:ilvl w:val="0"/>
          <w:numId w:val="34"/>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shd w:val="clear" w:color="auto" w:fill="FFFF00"/>
          <w:lang w:eastAsia="fr-FR"/>
        </w:rPr>
        <w:t>Lot 2 : 4 000.000 MRU</w:t>
      </w:r>
    </w:p>
    <w:p w:rsidR="003A5A05" w:rsidRPr="003A5A05" w:rsidRDefault="003A5A05" w:rsidP="003A5A05">
      <w:pPr>
        <w:shd w:val="clear" w:color="auto" w:fill="FFFFFF"/>
        <w:spacing w:after="100" w:afterAutospacing="1" w:line="240" w:lineRule="auto"/>
        <w:ind w:left="1425"/>
        <w:jc w:val="both"/>
        <w:rPr>
          <w:rFonts w:ascii="Segoe UI" w:eastAsia="Times New Roman" w:hAnsi="Segoe UI" w:cs="Segoe UI"/>
          <w:color w:val="040404"/>
          <w:sz w:val="21"/>
          <w:szCs w:val="21"/>
          <w:lang w:eastAsia="fr-FR"/>
        </w:rPr>
      </w:pPr>
      <w:proofErr w:type="gramStart"/>
      <w:r w:rsidRPr="003A5A05">
        <w:rPr>
          <w:rFonts w:ascii="Verdana" w:eastAsia="Times New Roman" w:hAnsi="Verdana" w:cs="Segoe UI"/>
          <w:color w:val="040404"/>
          <w:sz w:val="18"/>
          <w:szCs w:val="18"/>
          <w:lang w:eastAsia="fr-FR"/>
        </w:rPr>
        <w:t>délivrée</w:t>
      </w:r>
      <w:proofErr w:type="gramEnd"/>
      <w:r w:rsidRPr="003A5A05">
        <w:rPr>
          <w:rFonts w:ascii="Verdana" w:eastAsia="Times New Roman" w:hAnsi="Verdana" w:cs="Segoe UI"/>
          <w:color w:val="040404"/>
          <w:sz w:val="18"/>
          <w:szCs w:val="18"/>
          <w:lang w:eastAsia="fr-FR"/>
        </w:rPr>
        <w:t xml:space="preserve"> par une banque et destinée au besoin en fonds de roulement pour l’exécution du marché.</w:t>
      </w:r>
    </w:p>
    <w:p w:rsidR="003A5A05" w:rsidRPr="003A5A05" w:rsidRDefault="003A5A05" w:rsidP="003A5A05">
      <w:pPr>
        <w:shd w:val="clear" w:color="auto" w:fill="FFFFFF"/>
        <w:spacing w:after="100" w:afterAutospacing="1" w:line="240" w:lineRule="auto"/>
        <w:ind w:left="15"/>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 Voir le document d’Appel d’offres pour les informations détaillées.</w:t>
      </w:r>
    </w:p>
    <w:p w:rsidR="003A5A05" w:rsidRPr="003A5A05" w:rsidRDefault="003A5A05" w:rsidP="003A5A05">
      <w:pPr>
        <w:numPr>
          <w:ilvl w:val="0"/>
          <w:numId w:val="35"/>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Les entreprises ayant des contrats en cours d’exécution ou ayant des retards d’exécution avec TAAZOUR ne pourraient pas participer à cet appel d’offres </w:t>
      </w:r>
    </w:p>
    <w:p w:rsidR="003A5A05" w:rsidRPr="003A5A05" w:rsidRDefault="003A5A05" w:rsidP="003A5A05">
      <w:pPr>
        <w:numPr>
          <w:ilvl w:val="0"/>
          <w:numId w:val="36"/>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Les candidats intéressés peuvent obtenir un dossier d’Appel d’offres complet à l’adresse </w:t>
      </w:r>
      <w:r w:rsidRPr="003A5A05">
        <w:rPr>
          <w:rFonts w:ascii="Verdana" w:eastAsia="Times New Roman" w:hAnsi="Verdana" w:cs="Segoe UI"/>
          <w:b/>
          <w:bCs/>
          <w:color w:val="040404"/>
          <w:sz w:val="18"/>
          <w:szCs w:val="18"/>
          <w:lang w:eastAsia="fr-FR"/>
        </w:rPr>
        <w:t xml:space="preserve">Délégation Générale à la Solidarité Nationale et la Lutte Contre l’Exclusion ilot </w:t>
      </w:r>
      <w:proofErr w:type="spellStart"/>
      <w:r w:rsidRPr="003A5A05">
        <w:rPr>
          <w:rFonts w:ascii="Verdana" w:eastAsia="Times New Roman" w:hAnsi="Verdana" w:cs="Segoe UI"/>
          <w:b/>
          <w:bCs/>
          <w:color w:val="040404"/>
          <w:sz w:val="18"/>
          <w:szCs w:val="18"/>
          <w:lang w:eastAsia="fr-FR"/>
        </w:rPr>
        <w:t>Kext</w:t>
      </w:r>
      <w:proofErr w:type="spellEnd"/>
      <w:r w:rsidRPr="003A5A05">
        <w:rPr>
          <w:rFonts w:ascii="Verdana" w:eastAsia="Times New Roman" w:hAnsi="Verdana" w:cs="Segoe UI"/>
          <w:b/>
          <w:bCs/>
          <w:color w:val="040404"/>
          <w:sz w:val="18"/>
          <w:szCs w:val="18"/>
          <w:lang w:eastAsia="fr-FR"/>
        </w:rPr>
        <w:t xml:space="preserve"> S2-232bis, Tél. : 45 24 38 88/4524 38 99 </w:t>
      </w:r>
      <w:r w:rsidRPr="003A5A05">
        <w:rPr>
          <w:rFonts w:ascii="Verdana" w:eastAsia="Times New Roman" w:hAnsi="Verdana" w:cs="Segoe UI"/>
          <w:color w:val="040404"/>
          <w:sz w:val="18"/>
          <w:szCs w:val="18"/>
          <w:lang w:eastAsia="fr-FR"/>
        </w:rPr>
        <w:t>à compter du </w:t>
      </w:r>
      <w:r w:rsidRPr="003A5A05">
        <w:rPr>
          <w:rFonts w:ascii="Verdana" w:eastAsia="Times New Roman" w:hAnsi="Verdana" w:cs="Segoe UI"/>
          <w:b/>
          <w:bCs/>
          <w:color w:val="040404"/>
          <w:sz w:val="18"/>
          <w:szCs w:val="18"/>
          <w:lang w:eastAsia="fr-FR"/>
        </w:rPr>
        <w:t>mercredi 15 mars 2023</w:t>
      </w:r>
      <w:r w:rsidRPr="003A5A05">
        <w:rPr>
          <w:rFonts w:ascii="Verdana" w:eastAsia="Times New Roman" w:hAnsi="Verdana" w:cs="Segoe UI"/>
          <w:color w:val="040404"/>
          <w:sz w:val="18"/>
          <w:szCs w:val="18"/>
          <w:lang w:eastAsia="fr-FR"/>
        </w:rPr>
        <w:t> </w:t>
      </w:r>
      <w:r w:rsidRPr="003A5A05">
        <w:rPr>
          <w:rFonts w:ascii="Verdana" w:eastAsia="Times New Roman" w:hAnsi="Verdana" w:cs="Segoe UI"/>
          <w:b/>
          <w:bCs/>
          <w:color w:val="040404"/>
          <w:sz w:val="18"/>
          <w:szCs w:val="18"/>
          <w:lang w:eastAsia="fr-FR"/>
        </w:rPr>
        <w:t>à 12 Heures GMT</w:t>
      </w:r>
      <w:r w:rsidRPr="003A5A05">
        <w:rPr>
          <w:rFonts w:ascii="Verdana" w:eastAsia="Times New Roman" w:hAnsi="Verdana" w:cs="Segoe UI"/>
          <w:color w:val="040404"/>
          <w:sz w:val="18"/>
          <w:szCs w:val="18"/>
          <w:lang w:eastAsia="fr-FR"/>
        </w:rPr>
        <w:t> contre un paiement au trésor public non remboursable de </w:t>
      </w:r>
      <w:r w:rsidRPr="003A5A05">
        <w:rPr>
          <w:rFonts w:ascii="Verdana" w:eastAsia="Times New Roman" w:hAnsi="Verdana" w:cs="Segoe UI"/>
          <w:b/>
          <w:bCs/>
          <w:color w:val="040404"/>
          <w:sz w:val="18"/>
          <w:szCs w:val="18"/>
          <w:lang w:eastAsia="fr-FR"/>
        </w:rPr>
        <w:t>dix milles ouguiyas (10.000 MRU)</w:t>
      </w:r>
      <w:r w:rsidRPr="003A5A05">
        <w:rPr>
          <w:rFonts w:ascii="Verdana" w:eastAsia="Times New Roman" w:hAnsi="Verdana" w:cs="Segoe UI"/>
          <w:color w:val="040404"/>
          <w:sz w:val="18"/>
          <w:szCs w:val="18"/>
          <w:lang w:eastAsia="fr-FR"/>
        </w:rPr>
        <w:t> Le document d’Appel d’offres sera immédiatement remis aux candidats intéressés ou adressé à leurs  frais en utilisant le mode d’acheminement qu’ils auraient choisis</w:t>
      </w:r>
      <w:r w:rsidRPr="003A5A05">
        <w:rPr>
          <w:rFonts w:ascii="Verdana" w:eastAsia="Times New Roman" w:hAnsi="Verdana" w:cs="Segoe UI"/>
          <w:i/>
          <w:iCs/>
          <w:color w:val="040404"/>
          <w:sz w:val="18"/>
          <w:szCs w:val="18"/>
          <w:lang w:eastAsia="fr-FR"/>
        </w:rPr>
        <w:t>.</w:t>
      </w:r>
    </w:p>
    <w:p w:rsidR="003A5A05" w:rsidRPr="003A5A05" w:rsidRDefault="003A5A05" w:rsidP="003A5A05">
      <w:pPr>
        <w:numPr>
          <w:ilvl w:val="0"/>
          <w:numId w:val="37"/>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Les offres devront être rédigées en langue </w:t>
      </w:r>
      <w:r w:rsidRPr="003A5A05">
        <w:rPr>
          <w:rFonts w:ascii="Verdana" w:eastAsia="Times New Roman" w:hAnsi="Verdana" w:cs="Segoe UI"/>
          <w:b/>
          <w:bCs/>
          <w:color w:val="040404"/>
          <w:sz w:val="18"/>
          <w:szCs w:val="18"/>
          <w:lang w:eastAsia="fr-FR"/>
        </w:rPr>
        <w:t>française</w:t>
      </w:r>
      <w:r w:rsidRPr="003A5A05">
        <w:rPr>
          <w:rFonts w:ascii="Verdana" w:eastAsia="Times New Roman" w:hAnsi="Verdana" w:cs="Segoe UI"/>
          <w:color w:val="040404"/>
          <w:sz w:val="18"/>
          <w:szCs w:val="18"/>
          <w:lang w:eastAsia="fr-FR"/>
        </w:rPr>
        <w:t> et devront être déposées à l’adresse indiquée dans le DAO au plus tard le </w:t>
      </w:r>
      <w:r w:rsidRPr="003A5A05">
        <w:rPr>
          <w:rFonts w:ascii="Verdana" w:eastAsia="Times New Roman" w:hAnsi="Verdana" w:cs="Segoe UI"/>
          <w:b/>
          <w:bCs/>
          <w:color w:val="040404"/>
          <w:sz w:val="18"/>
          <w:szCs w:val="18"/>
          <w:lang w:eastAsia="fr-FR"/>
        </w:rPr>
        <w:t>mercredi 15 mars 2023</w:t>
      </w:r>
      <w:r w:rsidRPr="003A5A05">
        <w:rPr>
          <w:rFonts w:ascii="Verdana" w:eastAsia="Times New Roman" w:hAnsi="Verdana" w:cs="Segoe UI"/>
          <w:color w:val="040404"/>
          <w:sz w:val="18"/>
          <w:szCs w:val="18"/>
          <w:lang w:eastAsia="fr-FR"/>
        </w:rPr>
        <w:t> </w:t>
      </w:r>
      <w:r w:rsidRPr="003A5A05">
        <w:rPr>
          <w:rFonts w:ascii="Verdana" w:eastAsia="Times New Roman" w:hAnsi="Verdana" w:cs="Segoe UI"/>
          <w:b/>
          <w:bCs/>
          <w:color w:val="040404"/>
          <w:sz w:val="18"/>
          <w:szCs w:val="18"/>
          <w:lang w:eastAsia="fr-FR"/>
        </w:rPr>
        <w:t>à 12 Heures GMT</w:t>
      </w:r>
      <w:r w:rsidRPr="003A5A05">
        <w:rPr>
          <w:rFonts w:ascii="Verdana" w:eastAsia="Times New Roman" w:hAnsi="Verdana" w:cs="Segoe UI"/>
          <w:color w:val="040404"/>
          <w:sz w:val="18"/>
          <w:szCs w:val="18"/>
          <w:lang w:eastAsia="fr-FR"/>
        </w:rPr>
        <w:t> Les offres qui ne parviendront pas aux heures et date ci-dessus indiquées, seront purement et simplement rejetées et retournées aux frais des soumissionnaires concernés sans être ouvertes. Les offres seront ouvertes, en présence des représentants des Soumissionnaires qui désirent assister à l’ouverture des plis et, à l’adresse </w:t>
      </w:r>
      <w:r w:rsidRPr="003A5A05">
        <w:rPr>
          <w:rFonts w:ascii="Verdana" w:eastAsia="Times New Roman" w:hAnsi="Verdana" w:cs="Segoe UI"/>
          <w:b/>
          <w:bCs/>
          <w:color w:val="040404"/>
          <w:sz w:val="18"/>
          <w:szCs w:val="18"/>
          <w:lang w:eastAsia="fr-FR"/>
        </w:rPr>
        <w:t xml:space="preserve">Commission de Passation de </w:t>
      </w:r>
      <w:r w:rsidRPr="003A5A05">
        <w:rPr>
          <w:rFonts w:ascii="Verdana" w:eastAsia="Times New Roman" w:hAnsi="Verdana" w:cs="Segoe UI"/>
          <w:b/>
          <w:bCs/>
          <w:color w:val="040404"/>
          <w:sz w:val="18"/>
          <w:szCs w:val="18"/>
          <w:lang w:eastAsia="fr-FR"/>
        </w:rPr>
        <w:lastRenderedPageBreak/>
        <w:t>Marchés Publics (CPMP/TAAZOUR) TVZ B Nord, Ilot 105, en de guichet unique, Nouakchott, Mauritanie mercredi 15 mars 2023</w:t>
      </w:r>
      <w:r w:rsidRPr="003A5A05">
        <w:rPr>
          <w:rFonts w:ascii="Verdana" w:eastAsia="Times New Roman" w:hAnsi="Verdana" w:cs="Segoe UI"/>
          <w:color w:val="040404"/>
          <w:sz w:val="18"/>
          <w:szCs w:val="18"/>
          <w:lang w:eastAsia="fr-FR"/>
        </w:rPr>
        <w:t> </w:t>
      </w:r>
      <w:r w:rsidRPr="003A5A05">
        <w:rPr>
          <w:rFonts w:ascii="Verdana" w:eastAsia="Times New Roman" w:hAnsi="Verdana" w:cs="Segoe UI"/>
          <w:b/>
          <w:bCs/>
          <w:color w:val="040404"/>
          <w:sz w:val="18"/>
          <w:szCs w:val="18"/>
          <w:lang w:eastAsia="fr-FR"/>
        </w:rPr>
        <w:t>à 12 Heures GMT</w:t>
      </w:r>
      <w:r w:rsidRPr="003A5A05">
        <w:rPr>
          <w:rFonts w:ascii="Verdana" w:eastAsia="Times New Roman" w:hAnsi="Verdana" w:cs="Segoe UI"/>
          <w:color w:val="040404"/>
          <w:sz w:val="18"/>
          <w:szCs w:val="18"/>
          <w:lang w:eastAsia="fr-FR"/>
        </w:rPr>
        <w:t> Les offres doivent comprendre une garantie de soumission d’un montant de :</w:t>
      </w:r>
    </w:p>
    <w:p w:rsidR="003A5A05" w:rsidRPr="003A5A05" w:rsidRDefault="003A5A05" w:rsidP="003A5A05">
      <w:pPr>
        <w:numPr>
          <w:ilvl w:val="0"/>
          <w:numId w:val="38"/>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b/>
          <w:bCs/>
          <w:color w:val="040404"/>
          <w:sz w:val="18"/>
          <w:szCs w:val="18"/>
          <w:lang w:eastAsia="fr-FR"/>
        </w:rPr>
        <w:t>Lot 1 : 90.000 MRU</w:t>
      </w:r>
    </w:p>
    <w:p w:rsidR="003A5A05" w:rsidRPr="003A5A05" w:rsidRDefault="003A5A05" w:rsidP="003A5A05">
      <w:pPr>
        <w:numPr>
          <w:ilvl w:val="0"/>
          <w:numId w:val="38"/>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b/>
          <w:bCs/>
          <w:color w:val="040404"/>
          <w:sz w:val="18"/>
          <w:szCs w:val="18"/>
          <w:lang w:eastAsia="fr-FR"/>
        </w:rPr>
        <w:t>Lot 2 : 150.000 MRU</w:t>
      </w:r>
    </w:p>
    <w:p w:rsidR="003A5A05" w:rsidRPr="003A5A05" w:rsidRDefault="003A5A05" w:rsidP="003A5A05">
      <w:pPr>
        <w:shd w:val="clear" w:color="auto" w:fill="FFFFFF"/>
        <w:spacing w:after="100" w:afterAutospacing="1" w:line="240" w:lineRule="auto"/>
        <w:jc w:val="both"/>
        <w:rPr>
          <w:rFonts w:ascii="Segoe UI" w:eastAsia="Times New Roman" w:hAnsi="Segoe UI" w:cs="Segoe UI"/>
          <w:color w:val="040404"/>
          <w:sz w:val="21"/>
          <w:szCs w:val="21"/>
          <w:lang w:eastAsia="fr-FR"/>
        </w:rPr>
      </w:pPr>
      <w:proofErr w:type="gramStart"/>
      <w:r w:rsidRPr="003A5A05">
        <w:rPr>
          <w:rFonts w:ascii="Verdana" w:eastAsia="Times New Roman" w:hAnsi="Verdana" w:cs="Segoe UI"/>
          <w:color w:val="040404"/>
          <w:sz w:val="18"/>
          <w:szCs w:val="18"/>
          <w:lang w:eastAsia="fr-FR"/>
        </w:rPr>
        <w:t>ou</w:t>
      </w:r>
      <w:proofErr w:type="gramEnd"/>
      <w:r w:rsidRPr="003A5A05">
        <w:rPr>
          <w:rFonts w:ascii="Verdana" w:eastAsia="Times New Roman" w:hAnsi="Verdana" w:cs="Segoe UI"/>
          <w:color w:val="040404"/>
          <w:sz w:val="18"/>
          <w:szCs w:val="18"/>
          <w:lang w:eastAsia="fr-FR"/>
        </w:rPr>
        <w:t xml:space="preserve"> un montant équivalent dans une monnaie librement convertible. Les offres devront demeurer valides pendant une durée de 90 jours, à compter de la date limite de dépôt des offres.</w:t>
      </w:r>
    </w:p>
    <w:p w:rsidR="003A5A05" w:rsidRPr="003A5A05" w:rsidRDefault="003A5A05" w:rsidP="003A5A05">
      <w:pPr>
        <w:numPr>
          <w:ilvl w:val="0"/>
          <w:numId w:val="39"/>
        </w:numPr>
        <w:shd w:val="clear" w:color="auto" w:fill="FFFFFF"/>
        <w:spacing w:before="100" w:beforeAutospacing="1"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t>Les concurrents devront indiquer eux-mêmes dans leur soumission, le délai dans lequel ils s’engagent à exécuter les travaux. Ce délai ne doit pas dépasser </w:t>
      </w:r>
      <w:r w:rsidRPr="003A5A05">
        <w:rPr>
          <w:rFonts w:ascii="Verdana" w:eastAsia="Times New Roman" w:hAnsi="Verdana" w:cs="Segoe UI"/>
          <w:b/>
          <w:bCs/>
          <w:color w:val="040404"/>
          <w:sz w:val="18"/>
          <w:szCs w:val="18"/>
          <w:u w:val="single"/>
          <w:lang w:eastAsia="fr-FR"/>
        </w:rPr>
        <w:t>deux (02) mois pour le lot 1 et cinq (05) mois pour le lot 2</w:t>
      </w:r>
      <w:r w:rsidRPr="003A5A05">
        <w:rPr>
          <w:rFonts w:ascii="Verdana" w:eastAsia="Times New Roman" w:hAnsi="Verdana" w:cs="Segoe UI"/>
          <w:color w:val="040404"/>
          <w:sz w:val="18"/>
          <w:szCs w:val="18"/>
          <w:lang w:eastAsia="fr-FR"/>
        </w:rPr>
        <w:t>. Toute offre proposant un délai supérieur sera rejetée.</w:t>
      </w:r>
    </w:p>
    <w:p w:rsidR="003A5A05" w:rsidRPr="003A5A05" w:rsidRDefault="003A5A05" w:rsidP="003A5A05">
      <w:pPr>
        <w:shd w:val="clear" w:color="auto" w:fill="FFFFFF"/>
        <w:spacing w:after="100" w:afterAutospacing="1" w:line="240" w:lineRule="auto"/>
        <w:jc w:val="both"/>
        <w:rPr>
          <w:rFonts w:ascii="Segoe UI" w:eastAsia="Times New Roman" w:hAnsi="Segoe UI" w:cs="Segoe UI"/>
          <w:color w:val="040404"/>
          <w:sz w:val="21"/>
          <w:szCs w:val="21"/>
          <w:lang w:eastAsia="fr-FR"/>
        </w:rPr>
      </w:pPr>
      <w:r w:rsidRPr="003A5A05">
        <w:rPr>
          <w:rFonts w:ascii="Verdana" w:eastAsia="Times New Roman" w:hAnsi="Verdana" w:cs="Segoe UI"/>
          <w:color w:val="040404"/>
          <w:sz w:val="18"/>
          <w:szCs w:val="18"/>
          <w:lang w:eastAsia="fr-FR"/>
        </w:rPr>
        <w:br/>
      </w:r>
    </w:p>
    <w:p w:rsidR="003A5A05" w:rsidRPr="003A5A05" w:rsidRDefault="003A5A05" w:rsidP="003A5A05">
      <w:pPr>
        <w:shd w:val="clear" w:color="auto" w:fill="FFFFFF"/>
        <w:spacing w:after="100" w:afterAutospacing="1" w:line="240" w:lineRule="auto"/>
        <w:jc w:val="right"/>
        <w:rPr>
          <w:rFonts w:ascii="Segoe UI" w:eastAsia="Times New Roman" w:hAnsi="Segoe UI" w:cs="Segoe UI"/>
          <w:color w:val="040404"/>
          <w:sz w:val="21"/>
          <w:szCs w:val="21"/>
          <w:lang w:eastAsia="fr-FR"/>
        </w:rPr>
      </w:pPr>
      <w:r w:rsidRPr="003A5A05">
        <w:rPr>
          <w:rFonts w:ascii="Verdana" w:eastAsia="Times New Roman" w:hAnsi="Verdana" w:cs="Segoe UI"/>
          <w:b/>
          <w:bCs/>
          <w:color w:val="040404"/>
          <w:sz w:val="18"/>
          <w:szCs w:val="18"/>
          <w:lang w:eastAsia="fr-FR"/>
        </w:rPr>
        <w:t>Secrétaire Général </w:t>
      </w:r>
    </w:p>
    <w:p w:rsidR="00390A55" w:rsidRPr="003A5A05" w:rsidRDefault="00390A55" w:rsidP="003A5A05">
      <w:pPr>
        <w:ind w:left="-1134" w:right="-1134" w:hanging="142"/>
      </w:pPr>
      <w:bookmarkStart w:id="0" w:name="_GoBack"/>
      <w:bookmarkEnd w:id="0"/>
    </w:p>
    <w:sectPr w:rsidR="00390A55" w:rsidRPr="003A5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4914"/>
    <w:multiLevelType w:val="multilevel"/>
    <w:tmpl w:val="77687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858CD"/>
    <w:multiLevelType w:val="multilevel"/>
    <w:tmpl w:val="CE04F6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B10BB"/>
    <w:multiLevelType w:val="multilevel"/>
    <w:tmpl w:val="F1423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F72A8"/>
    <w:multiLevelType w:val="multilevel"/>
    <w:tmpl w:val="DC822B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224199"/>
    <w:multiLevelType w:val="multilevel"/>
    <w:tmpl w:val="BEB0E9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233C62"/>
    <w:multiLevelType w:val="multilevel"/>
    <w:tmpl w:val="0B7CD11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480ED4"/>
    <w:multiLevelType w:val="multilevel"/>
    <w:tmpl w:val="04A6B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F071C"/>
    <w:multiLevelType w:val="multilevel"/>
    <w:tmpl w:val="F7A8B1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723C83"/>
    <w:multiLevelType w:val="multilevel"/>
    <w:tmpl w:val="3E7C64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F6760A"/>
    <w:multiLevelType w:val="multilevel"/>
    <w:tmpl w:val="811A1F7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heme="majorBidi" w:hAnsiTheme="majorBidi" w:cstheme="majorBidi" w:hint="default"/>
        <w:b/>
        <w:bCs/>
        <w:sz w:val="32"/>
        <w:szCs w:val="32"/>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CDF44FB"/>
    <w:multiLevelType w:val="multilevel"/>
    <w:tmpl w:val="439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21041"/>
    <w:multiLevelType w:val="multilevel"/>
    <w:tmpl w:val="66182F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82A75"/>
    <w:multiLevelType w:val="multilevel"/>
    <w:tmpl w:val="F66425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421582"/>
    <w:multiLevelType w:val="multilevel"/>
    <w:tmpl w:val="7C7C1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D76A35"/>
    <w:multiLevelType w:val="multilevel"/>
    <w:tmpl w:val="9FE6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3B65C9"/>
    <w:multiLevelType w:val="multilevel"/>
    <w:tmpl w:val="5B683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D31C4"/>
    <w:multiLevelType w:val="multilevel"/>
    <w:tmpl w:val="C31477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E80C80"/>
    <w:multiLevelType w:val="multilevel"/>
    <w:tmpl w:val="878477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6A1F95"/>
    <w:multiLevelType w:val="multilevel"/>
    <w:tmpl w:val="873A56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747A13"/>
    <w:multiLevelType w:val="multilevel"/>
    <w:tmpl w:val="DCC4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9D295C"/>
    <w:multiLevelType w:val="multilevel"/>
    <w:tmpl w:val="BE30B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4341C7"/>
    <w:multiLevelType w:val="multilevel"/>
    <w:tmpl w:val="82F0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1D36BC"/>
    <w:multiLevelType w:val="multilevel"/>
    <w:tmpl w:val="0A4A20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FB6961"/>
    <w:multiLevelType w:val="multilevel"/>
    <w:tmpl w:val="D2C208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i w:val="0"/>
        <w:iCs/>
      </w:rPr>
    </w:lvl>
    <w:lvl w:ilvl="3">
      <w:start w:val="1"/>
      <w:numFmt w:val="decimal"/>
      <w:lvlText w:val="%1.%2.%3.%4"/>
      <w:lvlJc w:val="left"/>
      <w:pPr>
        <w:ind w:left="864" w:hanging="864"/>
      </w:pPr>
      <w:rPr>
        <w:b/>
        <w:bCs/>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12179F7"/>
    <w:multiLevelType w:val="multilevel"/>
    <w:tmpl w:val="7A7E91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C55797"/>
    <w:multiLevelType w:val="multilevel"/>
    <w:tmpl w:val="2AA43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6A1073"/>
    <w:multiLevelType w:val="multilevel"/>
    <w:tmpl w:val="693483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0A7241"/>
    <w:multiLevelType w:val="multilevel"/>
    <w:tmpl w:val="D41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496080"/>
    <w:multiLevelType w:val="multilevel"/>
    <w:tmpl w:val="BB52EF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E71418"/>
    <w:multiLevelType w:val="multilevel"/>
    <w:tmpl w:val="45AAE0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747952"/>
    <w:multiLevelType w:val="multilevel"/>
    <w:tmpl w:val="0BA2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FC69CC"/>
    <w:multiLevelType w:val="multilevel"/>
    <w:tmpl w:val="0FFC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8E6EE9"/>
    <w:multiLevelType w:val="multilevel"/>
    <w:tmpl w:val="7924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9F1FCF"/>
    <w:multiLevelType w:val="multilevel"/>
    <w:tmpl w:val="1B60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3"/>
  </w:num>
  <w:num w:numId="3">
    <w:abstractNumId w:val="23"/>
  </w:num>
  <w:num w:numId="4">
    <w:abstractNumId w:val="9"/>
  </w:num>
  <w:num w:numId="5">
    <w:abstractNumId w:val="23"/>
  </w:num>
  <w:num w:numId="6">
    <w:abstractNumId w:val="23"/>
  </w:num>
  <w:num w:numId="7">
    <w:abstractNumId w:val="5"/>
  </w:num>
  <w:num w:numId="8">
    <w:abstractNumId w:val="9"/>
  </w:num>
  <w:num w:numId="9">
    <w:abstractNumId w:val="31"/>
  </w:num>
  <w:num w:numId="10">
    <w:abstractNumId w:val="0"/>
  </w:num>
  <w:num w:numId="11">
    <w:abstractNumId w:val="6"/>
  </w:num>
  <w:num w:numId="12">
    <w:abstractNumId w:val="4"/>
  </w:num>
  <w:num w:numId="13">
    <w:abstractNumId w:val="26"/>
  </w:num>
  <w:num w:numId="14">
    <w:abstractNumId w:val="3"/>
  </w:num>
  <w:num w:numId="15">
    <w:abstractNumId w:val="7"/>
  </w:num>
  <w:num w:numId="16">
    <w:abstractNumId w:val="10"/>
  </w:num>
  <w:num w:numId="17">
    <w:abstractNumId w:val="29"/>
  </w:num>
  <w:num w:numId="18">
    <w:abstractNumId w:val="22"/>
  </w:num>
  <w:num w:numId="19">
    <w:abstractNumId w:val="11"/>
  </w:num>
  <w:num w:numId="20">
    <w:abstractNumId w:val="25"/>
  </w:num>
  <w:num w:numId="21">
    <w:abstractNumId w:val="8"/>
  </w:num>
  <w:num w:numId="22">
    <w:abstractNumId w:val="1"/>
  </w:num>
  <w:num w:numId="23">
    <w:abstractNumId w:val="17"/>
  </w:num>
  <w:num w:numId="24">
    <w:abstractNumId w:val="28"/>
  </w:num>
  <w:num w:numId="25">
    <w:abstractNumId w:val="12"/>
  </w:num>
  <w:num w:numId="26">
    <w:abstractNumId w:val="32"/>
  </w:num>
  <w:num w:numId="27">
    <w:abstractNumId w:val="20"/>
  </w:num>
  <w:num w:numId="28">
    <w:abstractNumId w:val="15"/>
  </w:num>
  <w:num w:numId="29">
    <w:abstractNumId w:val="2"/>
  </w:num>
  <w:num w:numId="30">
    <w:abstractNumId w:val="16"/>
  </w:num>
  <w:num w:numId="31">
    <w:abstractNumId w:val="30"/>
  </w:num>
  <w:num w:numId="32">
    <w:abstractNumId w:val="21"/>
  </w:num>
  <w:num w:numId="33">
    <w:abstractNumId w:val="27"/>
  </w:num>
  <w:num w:numId="34">
    <w:abstractNumId w:val="19"/>
  </w:num>
  <w:num w:numId="35">
    <w:abstractNumId w:val="14"/>
  </w:num>
  <w:num w:numId="36">
    <w:abstractNumId w:val="24"/>
  </w:num>
  <w:num w:numId="37">
    <w:abstractNumId w:val="13"/>
  </w:num>
  <w:num w:numId="38">
    <w:abstractNumId w:val="3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78"/>
    <w:rsid w:val="00022EEF"/>
    <w:rsid w:val="00093A78"/>
    <w:rsid w:val="00390A55"/>
    <w:rsid w:val="003A5A05"/>
    <w:rsid w:val="0042574E"/>
    <w:rsid w:val="00F871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CDF53-CE3B-4A84-B39D-DA407938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4E"/>
    <w:pPr>
      <w:spacing w:after="0" w:line="480" w:lineRule="auto"/>
    </w:pPr>
    <w:rPr>
      <w:rFonts w:asciiTheme="majorBidi" w:hAnsiTheme="majorBidi"/>
      <w:sz w:val="24"/>
    </w:rPr>
  </w:style>
  <w:style w:type="paragraph" w:styleId="Titre1">
    <w:name w:val="heading 1"/>
    <w:basedOn w:val="Normal"/>
    <w:next w:val="Normal"/>
    <w:link w:val="Titre1Car"/>
    <w:autoRedefine/>
    <w:uiPriority w:val="9"/>
    <w:qFormat/>
    <w:rsid w:val="0042574E"/>
    <w:pPr>
      <w:keepNext/>
      <w:keepLines/>
      <w:tabs>
        <w:tab w:val="left" w:pos="0"/>
      </w:tabs>
      <w:spacing w:before="240" w:line="240" w:lineRule="auto"/>
      <w:ind w:left="432"/>
      <w:outlineLvl w:val="0"/>
    </w:pPr>
    <w:rPr>
      <w:rFonts w:ascii="Garamond" w:eastAsiaTheme="majorEastAsia" w:hAnsi="Garamond" w:cstheme="majorBidi"/>
      <w:b/>
      <w:color w:val="000000" w:themeColor="text1"/>
      <w:sz w:val="48"/>
      <w:szCs w:val="24"/>
    </w:rPr>
  </w:style>
  <w:style w:type="paragraph" w:styleId="Titre2">
    <w:name w:val="heading 2"/>
    <w:basedOn w:val="Normal"/>
    <w:next w:val="Normal"/>
    <w:link w:val="Titre2Car"/>
    <w:autoRedefine/>
    <w:uiPriority w:val="9"/>
    <w:unhideWhenUsed/>
    <w:qFormat/>
    <w:rsid w:val="0042574E"/>
    <w:pPr>
      <w:widowControl w:val="0"/>
      <w:tabs>
        <w:tab w:val="left" w:pos="1399"/>
        <w:tab w:val="left" w:pos="1400"/>
      </w:tabs>
      <w:autoSpaceDE w:val="0"/>
      <w:autoSpaceDN w:val="0"/>
      <w:spacing w:before="240" w:line="240" w:lineRule="auto"/>
      <w:ind w:left="567" w:right="1842"/>
      <w:jc w:val="both"/>
      <w:outlineLvl w:val="1"/>
    </w:pPr>
    <w:rPr>
      <w:rFonts w:eastAsiaTheme="majorEastAsia" w:cstheme="majorBidi"/>
      <w:b/>
      <w:bCs/>
      <w:sz w:val="32"/>
      <w:szCs w:val="24"/>
    </w:rPr>
  </w:style>
  <w:style w:type="paragraph" w:styleId="Titre3">
    <w:name w:val="heading 3"/>
    <w:basedOn w:val="Normal"/>
    <w:next w:val="Normal"/>
    <w:link w:val="Titre3Car"/>
    <w:autoRedefine/>
    <w:uiPriority w:val="9"/>
    <w:unhideWhenUsed/>
    <w:qFormat/>
    <w:rsid w:val="0042574E"/>
    <w:pPr>
      <w:widowControl w:val="0"/>
      <w:tabs>
        <w:tab w:val="left" w:pos="1760"/>
      </w:tabs>
      <w:autoSpaceDE w:val="0"/>
      <w:autoSpaceDN w:val="0"/>
      <w:spacing w:before="243" w:line="360" w:lineRule="auto"/>
      <w:ind w:right="1842"/>
      <w:jc w:val="both"/>
      <w:outlineLvl w:val="2"/>
    </w:pPr>
    <w:rPr>
      <w:rFonts w:eastAsiaTheme="majorEastAsia" w:cstheme="majorBidi"/>
      <w:b/>
      <w:bCs/>
      <w:sz w:val="28"/>
      <w:szCs w:val="36"/>
    </w:rPr>
  </w:style>
  <w:style w:type="paragraph" w:styleId="Titre4">
    <w:name w:val="heading 4"/>
    <w:basedOn w:val="Normal"/>
    <w:next w:val="Normal"/>
    <w:link w:val="Titre4Car"/>
    <w:autoRedefine/>
    <w:uiPriority w:val="9"/>
    <w:unhideWhenUsed/>
    <w:qFormat/>
    <w:rsid w:val="0042574E"/>
    <w:pPr>
      <w:keepNext/>
      <w:keepLines/>
      <w:spacing w:before="40" w:line="276" w:lineRule="auto"/>
      <w:ind w:left="1440"/>
      <w:outlineLvl w:val="3"/>
    </w:pPr>
    <w:rPr>
      <w:rFonts w:ascii="Garamond" w:eastAsiaTheme="majorEastAsia" w:hAnsi="Garamond" w:cstheme="majorBidi"/>
      <w:b/>
      <w:iCs/>
      <w:color w:val="000000" w:themeColor="text1"/>
      <w:sz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2574E"/>
    <w:rPr>
      <w:rFonts w:asciiTheme="majorBidi" w:eastAsiaTheme="majorEastAsia" w:hAnsiTheme="majorBidi" w:cstheme="majorBidi"/>
      <w:b/>
      <w:bCs/>
      <w:sz w:val="28"/>
      <w:szCs w:val="36"/>
    </w:rPr>
  </w:style>
  <w:style w:type="character" w:customStyle="1" w:styleId="Titre4Car">
    <w:name w:val="Titre 4 Car"/>
    <w:basedOn w:val="Policepardfaut"/>
    <w:link w:val="Titre4"/>
    <w:uiPriority w:val="9"/>
    <w:rsid w:val="0042574E"/>
    <w:rPr>
      <w:rFonts w:ascii="Garamond" w:eastAsiaTheme="majorEastAsia" w:hAnsi="Garamond" w:cstheme="majorBidi"/>
      <w:b/>
      <w:iCs/>
      <w:color w:val="000000" w:themeColor="text1"/>
      <w:sz w:val="28"/>
      <w:lang w:val="en-US"/>
    </w:rPr>
  </w:style>
  <w:style w:type="character" w:customStyle="1" w:styleId="Titre1Car">
    <w:name w:val="Titre 1 Car"/>
    <w:basedOn w:val="Policepardfaut"/>
    <w:link w:val="Titre1"/>
    <w:uiPriority w:val="9"/>
    <w:rsid w:val="0042574E"/>
    <w:rPr>
      <w:rFonts w:ascii="Garamond" w:eastAsiaTheme="majorEastAsia" w:hAnsi="Garamond" w:cstheme="majorBidi"/>
      <w:b/>
      <w:color w:val="000000" w:themeColor="text1"/>
      <w:sz w:val="48"/>
      <w:szCs w:val="24"/>
    </w:rPr>
  </w:style>
  <w:style w:type="character" w:customStyle="1" w:styleId="Titre2Car">
    <w:name w:val="Titre 2 Car"/>
    <w:basedOn w:val="Policepardfaut"/>
    <w:link w:val="Titre2"/>
    <w:uiPriority w:val="9"/>
    <w:rsid w:val="0042574E"/>
    <w:rPr>
      <w:rFonts w:asciiTheme="majorBidi" w:eastAsiaTheme="majorEastAsia" w:hAnsiTheme="majorBidi" w:cstheme="majorBidi"/>
      <w:b/>
      <w:bCs/>
      <w:sz w:val="32"/>
      <w:szCs w:val="24"/>
    </w:rPr>
  </w:style>
  <w:style w:type="paragraph" w:styleId="NormalWeb">
    <w:name w:val="Normal (Web)"/>
    <w:basedOn w:val="Normal"/>
    <w:uiPriority w:val="99"/>
    <w:semiHidden/>
    <w:unhideWhenUsed/>
    <w:rsid w:val="00022EEF"/>
    <w:pPr>
      <w:spacing w:before="100" w:beforeAutospacing="1" w:after="100" w:afterAutospacing="1" w:line="240" w:lineRule="auto"/>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022EEF"/>
    <w:rPr>
      <w:i/>
      <w:iCs/>
    </w:rPr>
  </w:style>
  <w:style w:type="character" w:styleId="lev">
    <w:name w:val="Strong"/>
    <w:basedOn w:val="Policepardfaut"/>
    <w:uiPriority w:val="22"/>
    <w:qFormat/>
    <w:rsid w:val="00022EEF"/>
    <w:rPr>
      <w:b/>
      <w:bCs/>
    </w:rPr>
  </w:style>
  <w:style w:type="character" w:styleId="Lienhypertexte">
    <w:name w:val="Hyperlink"/>
    <w:basedOn w:val="Policepardfaut"/>
    <w:uiPriority w:val="99"/>
    <w:semiHidden/>
    <w:unhideWhenUsed/>
    <w:rsid w:val="003A5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53111">
      <w:bodyDiv w:val="1"/>
      <w:marLeft w:val="0"/>
      <w:marRight w:val="0"/>
      <w:marTop w:val="0"/>
      <w:marBottom w:val="0"/>
      <w:divBdr>
        <w:top w:val="none" w:sz="0" w:space="0" w:color="auto"/>
        <w:left w:val="none" w:sz="0" w:space="0" w:color="auto"/>
        <w:bottom w:val="none" w:sz="0" w:space="0" w:color="auto"/>
        <w:right w:val="none" w:sz="0" w:space="0" w:color="auto"/>
      </w:divBdr>
    </w:div>
    <w:div w:id="730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azour.mr/%2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5494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2023-02-21T20:13:00Z</dcterms:created>
  <dcterms:modified xsi:type="dcterms:W3CDTF">2023-02-21T20:13:00Z</dcterms:modified>
</cp:coreProperties>
</file>