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EEF" w:rsidRPr="00022EEF" w:rsidRDefault="00022EEF" w:rsidP="00022EEF">
      <w:pPr>
        <w:shd w:val="clear" w:color="auto" w:fill="FFFFFF"/>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b/>
          <w:bCs/>
          <w:i/>
          <w:iCs/>
          <w:color w:val="4F81BD"/>
          <w:sz w:val="18"/>
          <w:szCs w:val="18"/>
          <w:lang w:eastAsia="fr-FR"/>
        </w:rPr>
        <w:t>Avis d’Appel d’Offres (AAON)</w:t>
      </w:r>
    </w:p>
    <w:p w:rsidR="00022EEF" w:rsidRPr="00022EEF" w:rsidRDefault="00022EEF" w:rsidP="00022EEF">
      <w:pPr>
        <w:shd w:val="clear" w:color="auto" w:fill="FFFFFF"/>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b/>
          <w:bCs/>
          <w:i/>
          <w:iCs/>
          <w:color w:val="040404"/>
          <w:sz w:val="18"/>
          <w:szCs w:val="18"/>
          <w:lang w:eastAsia="fr-FR"/>
        </w:rPr>
        <w:t>Délégation Générale à la Solidarité Nationale et à la Lutte contre l’Exclusion</w:t>
      </w:r>
    </w:p>
    <w:p w:rsidR="00022EEF" w:rsidRPr="00022EEF" w:rsidRDefault="00022EEF" w:rsidP="00022EEF">
      <w:pPr>
        <w:shd w:val="clear" w:color="auto" w:fill="FFFFFF"/>
        <w:spacing w:after="100" w:afterAutospacing="1" w:line="240" w:lineRule="auto"/>
        <w:jc w:val="center"/>
        <w:rPr>
          <w:rFonts w:ascii="Segoe UI" w:eastAsia="Times New Roman" w:hAnsi="Segoe UI" w:cs="Segoe UI"/>
          <w:color w:val="040404"/>
          <w:sz w:val="21"/>
          <w:szCs w:val="21"/>
          <w:lang w:val="en-US" w:eastAsia="fr-FR"/>
        </w:rPr>
      </w:pPr>
      <w:r w:rsidRPr="00022EEF">
        <w:rPr>
          <w:rFonts w:ascii="Verdana" w:eastAsia="Times New Roman" w:hAnsi="Verdana" w:cs="Segoe UI"/>
          <w:b/>
          <w:bCs/>
          <w:i/>
          <w:iCs/>
          <w:color w:val="040404"/>
          <w:sz w:val="18"/>
          <w:szCs w:val="18"/>
          <w:lang w:val="en-US" w:eastAsia="fr-FR"/>
        </w:rPr>
        <w:t>(TAAZOUR)</w:t>
      </w:r>
    </w:p>
    <w:p w:rsidR="00022EEF" w:rsidRPr="00022EEF" w:rsidRDefault="00022EEF" w:rsidP="00022EEF">
      <w:pPr>
        <w:shd w:val="clear" w:color="auto" w:fill="FFFFFF"/>
        <w:spacing w:after="100" w:afterAutospacing="1" w:line="240" w:lineRule="auto"/>
        <w:jc w:val="center"/>
        <w:rPr>
          <w:rFonts w:ascii="Segoe UI" w:eastAsia="Times New Roman" w:hAnsi="Segoe UI" w:cs="Segoe UI"/>
          <w:color w:val="040404"/>
          <w:sz w:val="21"/>
          <w:szCs w:val="21"/>
          <w:lang w:val="en-US" w:eastAsia="fr-FR"/>
        </w:rPr>
      </w:pPr>
      <w:r w:rsidRPr="00022EEF">
        <w:rPr>
          <w:rFonts w:ascii="Verdana" w:eastAsia="Times New Roman" w:hAnsi="Verdana" w:cs="Segoe UI"/>
          <w:i/>
          <w:iCs/>
          <w:color w:val="040404"/>
          <w:sz w:val="18"/>
          <w:szCs w:val="18"/>
          <w:u w:val="single"/>
          <w:lang w:val="en-US" w:eastAsia="fr-FR"/>
        </w:rPr>
        <w:t>AAON N</w:t>
      </w:r>
      <w:r w:rsidRPr="00022EEF">
        <w:rPr>
          <w:rFonts w:ascii="Verdana" w:eastAsia="Times New Roman" w:hAnsi="Verdana" w:cs="Segoe UI"/>
          <w:i/>
          <w:iCs/>
          <w:color w:val="040404"/>
          <w:sz w:val="14"/>
          <w:szCs w:val="14"/>
          <w:u w:val="single"/>
          <w:vertAlign w:val="superscript"/>
          <w:lang w:val="en-US" w:eastAsia="fr-FR"/>
        </w:rPr>
        <w:t>o</w:t>
      </w:r>
      <w:r w:rsidRPr="00022EEF">
        <w:rPr>
          <w:rFonts w:ascii="Verdana" w:eastAsia="Times New Roman" w:hAnsi="Verdana" w:cs="Segoe UI"/>
          <w:i/>
          <w:iCs/>
          <w:color w:val="040404"/>
          <w:sz w:val="18"/>
          <w:szCs w:val="18"/>
          <w:lang w:val="en-US" w:eastAsia="fr-FR"/>
        </w:rPr>
        <w:t>: 002/CPMP/TAAZOUR/2023</w:t>
      </w:r>
    </w:p>
    <w:p w:rsidR="00022EEF" w:rsidRPr="00022EEF" w:rsidRDefault="00022EEF" w:rsidP="00022EEF">
      <w:pPr>
        <w:numPr>
          <w:ilvl w:val="0"/>
          <w:numId w:val="9"/>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Cet Avis d’appel d’offres fait suite au Plan de Passation des Marchés Publics de TAAZOUR pour l’année 2023.</w:t>
      </w:r>
    </w:p>
    <w:p w:rsidR="00022EEF" w:rsidRPr="00022EEF" w:rsidRDefault="00022EEF" w:rsidP="00022EEF">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La Délégation Générale TAAZOUR a dégagé dans le cadre de l’exécution de son budget 2023 des fonds, afin de financer </w:t>
      </w:r>
      <w:r w:rsidRPr="00022EEF">
        <w:rPr>
          <w:rFonts w:ascii="Verdana" w:eastAsia="Times New Roman" w:hAnsi="Verdana" w:cs="Segoe UI"/>
          <w:b/>
          <w:bCs/>
          <w:i/>
          <w:iCs/>
          <w:color w:val="040404"/>
          <w:sz w:val="18"/>
          <w:szCs w:val="18"/>
          <w:lang w:eastAsia="fr-FR"/>
        </w:rPr>
        <w:t>la Construction de Logements Sociaux dans plusieurs villes de l’Intérieur du Pays</w:t>
      </w:r>
      <w:r w:rsidRPr="00022EEF">
        <w:rPr>
          <w:rFonts w:ascii="Verdana" w:eastAsia="Times New Roman" w:hAnsi="Verdana" w:cs="Segoe UI"/>
          <w:i/>
          <w:iCs/>
          <w:color w:val="040404"/>
          <w:sz w:val="18"/>
          <w:szCs w:val="18"/>
          <w:lang w:eastAsia="fr-FR"/>
        </w:rPr>
        <w:t>, et a l’intention d’utiliser une partie de ces fonds pour effectuer des paiements au titre du Marché des </w:t>
      </w:r>
      <w:r w:rsidRPr="00022EEF">
        <w:rPr>
          <w:rFonts w:ascii="Verdana" w:eastAsia="Times New Roman" w:hAnsi="Verdana" w:cs="Segoe UI"/>
          <w:b/>
          <w:bCs/>
          <w:i/>
          <w:iCs/>
          <w:color w:val="040404"/>
          <w:sz w:val="18"/>
          <w:szCs w:val="18"/>
          <w:lang w:eastAsia="fr-FR"/>
        </w:rPr>
        <w:t>travaux de construction de 576 Logements sociaux type Habitat Collectif dans les 2 villes de Nouadhibou et de Zouerate en onze (11) lots distincts</w:t>
      </w:r>
      <w:r w:rsidRPr="00022EEF">
        <w:rPr>
          <w:rFonts w:ascii="Verdana" w:eastAsia="Times New Roman" w:hAnsi="Verdana" w:cs="Segoe UI"/>
          <w:i/>
          <w:iCs/>
          <w:color w:val="040404"/>
          <w:sz w:val="18"/>
          <w:szCs w:val="18"/>
          <w:lang w:eastAsia="fr-FR"/>
        </w:rPr>
        <w:t>. Les travaux de construction seront exécutés dans les 2 villes de Nouadhibou et de Zouerate. Le délai d’exécution des travaux est de </w:t>
      </w:r>
      <w:r w:rsidRPr="00022EEF">
        <w:rPr>
          <w:rFonts w:ascii="Verdana" w:eastAsia="Times New Roman" w:hAnsi="Verdana" w:cs="Segoe UI"/>
          <w:b/>
          <w:bCs/>
          <w:i/>
          <w:iCs/>
          <w:color w:val="040404"/>
          <w:sz w:val="18"/>
          <w:szCs w:val="18"/>
          <w:lang w:eastAsia="fr-FR"/>
        </w:rPr>
        <w:t>2 mois</w:t>
      </w:r>
      <w:r w:rsidRPr="00022EEF">
        <w:rPr>
          <w:rFonts w:ascii="Verdana" w:eastAsia="Times New Roman" w:hAnsi="Verdana" w:cs="Segoe UI"/>
          <w:i/>
          <w:iCs/>
          <w:color w:val="040404"/>
          <w:sz w:val="18"/>
          <w:szCs w:val="18"/>
          <w:lang w:eastAsia="fr-FR"/>
        </w:rPr>
        <w:t> pour les lots 1 et 8, </w:t>
      </w:r>
      <w:r w:rsidRPr="00022EEF">
        <w:rPr>
          <w:rFonts w:ascii="Verdana" w:eastAsia="Times New Roman" w:hAnsi="Verdana" w:cs="Segoe UI"/>
          <w:b/>
          <w:bCs/>
          <w:i/>
          <w:iCs/>
          <w:color w:val="040404"/>
          <w:sz w:val="18"/>
          <w:szCs w:val="18"/>
          <w:lang w:eastAsia="fr-FR"/>
        </w:rPr>
        <w:t>5 mois</w:t>
      </w:r>
      <w:r w:rsidRPr="00022EEF">
        <w:rPr>
          <w:rFonts w:ascii="Verdana" w:eastAsia="Times New Roman" w:hAnsi="Verdana" w:cs="Segoe UI"/>
          <w:i/>
          <w:iCs/>
          <w:color w:val="040404"/>
          <w:sz w:val="18"/>
          <w:szCs w:val="18"/>
          <w:lang w:eastAsia="fr-FR"/>
        </w:rPr>
        <w:t> pour les lots 2 et 9, </w:t>
      </w:r>
      <w:r w:rsidRPr="00022EEF">
        <w:rPr>
          <w:rFonts w:ascii="Verdana" w:eastAsia="Times New Roman" w:hAnsi="Verdana" w:cs="Segoe UI"/>
          <w:b/>
          <w:bCs/>
          <w:i/>
          <w:iCs/>
          <w:color w:val="040404"/>
          <w:sz w:val="18"/>
          <w:szCs w:val="18"/>
          <w:lang w:eastAsia="fr-FR"/>
        </w:rPr>
        <w:t>18 mois </w:t>
      </w:r>
      <w:r w:rsidRPr="00022EEF">
        <w:rPr>
          <w:rFonts w:ascii="Verdana" w:eastAsia="Times New Roman" w:hAnsi="Verdana" w:cs="Segoe UI"/>
          <w:i/>
          <w:iCs/>
          <w:color w:val="040404"/>
          <w:sz w:val="18"/>
          <w:szCs w:val="18"/>
          <w:lang w:eastAsia="fr-FR"/>
        </w:rPr>
        <w:t>pour les lots 3, 4, 5, 6, 7,10 et 11</w:t>
      </w:r>
      <w:r w:rsidRPr="00022EEF">
        <w:rPr>
          <w:rFonts w:ascii="Verdana" w:eastAsia="Times New Roman" w:hAnsi="Verdana" w:cs="Segoe UI"/>
          <w:b/>
          <w:bCs/>
          <w:i/>
          <w:iCs/>
          <w:color w:val="040404"/>
          <w:sz w:val="18"/>
          <w:szCs w:val="18"/>
          <w:lang w:eastAsia="fr-FR"/>
        </w:rPr>
        <w:t>.</w:t>
      </w:r>
    </w:p>
    <w:p w:rsidR="00022EEF" w:rsidRPr="00022EEF" w:rsidRDefault="00022EEF" w:rsidP="00022EEF">
      <w:pPr>
        <w:numPr>
          <w:ilvl w:val="0"/>
          <w:numId w:val="11"/>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La Délégation Générale TAAZOUR sollicite des offres sous pli fermé de la part de candidats éligibles et répondant aux qualifications requises pour les travaux de </w:t>
      </w:r>
      <w:r w:rsidRPr="00022EEF">
        <w:rPr>
          <w:rFonts w:ascii="Verdana" w:eastAsia="Times New Roman" w:hAnsi="Verdana" w:cs="Segoe UI"/>
          <w:b/>
          <w:bCs/>
          <w:i/>
          <w:iCs/>
          <w:color w:val="040404"/>
          <w:sz w:val="18"/>
          <w:szCs w:val="18"/>
          <w:lang w:eastAsia="fr-FR"/>
        </w:rPr>
        <w:t>construction de 576 logements sociaux  type Habitat Collectif dans les 2 villes de Nouadhibou et de Zouerate </w:t>
      </w:r>
      <w:r w:rsidRPr="00022EEF">
        <w:rPr>
          <w:rFonts w:ascii="Verdana" w:eastAsia="Times New Roman" w:hAnsi="Verdana" w:cs="Segoe UI"/>
          <w:i/>
          <w:iCs/>
          <w:color w:val="040404"/>
          <w:sz w:val="18"/>
          <w:szCs w:val="18"/>
          <w:lang w:eastAsia="fr-FR"/>
        </w:rPr>
        <w:t>y compris la préparation du site devant recevoir les logements de DARI/TAAZOUR, le raccordement de la Cité aux réseaux d’eau (Cuve d’eau basse de 300 m2- Château d’eau de 75 m3- Station de pompage) et d’électricité (Postes de Transformation de 630KVA/400KVA- Alimentation de chaque immeuble , l’implantation des immeubles RDC+2,  la construction de 576 logements sociaux, tous les corps d’état confondus et </w:t>
      </w:r>
      <w:r w:rsidRPr="00022EEF">
        <w:rPr>
          <w:rFonts w:ascii="Verdana" w:eastAsia="Times New Roman" w:hAnsi="Verdana" w:cs="Segoe UI"/>
          <w:b/>
          <w:bCs/>
          <w:i/>
          <w:iCs/>
          <w:color w:val="040404"/>
          <w:sz w:val="18"/>
          <w:szCs w:val="18"/>
          <w:lang w:eastAsia="fr-FR"/>
        </w:rPr>
        <w:t>en 11 lots</w:t>
      </w:r>
      <w:r w:rsidRPr="00022EEF">
        <w:rPr>
          <w:rFonts w:ascii="Verdana" w:eastAsia="Times New Roman" w:hAnsi="Verdana" w:cs="Segoe UI"/>
          <w:i/>
          <w:iCs/>
          <w:color w:val="040404"/>
          <w:sz w:val="18"/>
          <w:szCs w:val="18"/>
          <w:lang w:eastAsia="fr-FR"/>
        </w:rPr>
        <w:t> détaillés comme suit :</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533"/>
        <w:gridCol w:w="1299"/>
        <w:gridCol w:w="1001"/>
        <w:gridCol w:w="1001"/>
        <w:gridCol w:w="1077"/>
        <w:gridCol w:w="958"/>
        <w:gridCol w:w="1328"/>
        <w:gridCol w:w="1447"/>
        <w:gridCol w:w="1196"/>
      </w:tblGrid>
      <w:tr w:rsidR="00022EEF" w:rsidRPr="00022EEF" w:rsidTr="00022EEF">
        <w:trPr>
          <w:trHeight w:val="1245"/>
        </w:trPr>
        <w:tc>
          <w:tcPr>
            <w:tcW w:w="540" w:type="dxa"/>
            <w:tcBorders>
              <w:top w:val="single" w:sz="6" w:space="0" w:color="000000"/>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Lot</w:t>
            </w:r>
          </w:p>
        </w:tc>
        <w:tc>
          <w:tcPr>
            <w:tcW w:w="1305" w:type="dxa"/>
            <w:tcBorders>
              <w:top w:val="single" w:sz="6" w:space="0" w:color="000000"/>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Ville</w:t>
            </w:r>
          </w:p>
        </w:tc>
        <w:tc>
          <w:tcPr>
            <w:tcW w:w="1005" w:type="dxa"/>
            <w:tcBorders>
              <w:top w:val="single" w:sz="6" w:space="0" w:color="000000"/>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Nombre de logement type F2 (66m2)</w:t>
            </w:r>
          </w:p>
        </w:tc>
        <w:tc>
          <w:tcPr>
            <w:tcW w:w="1005" w:type="dxa"/>
            <w:tcBorders>
              <w:top w:val="single" w:sz="6" w:space="0" w:color="000000"/>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Nombre de logement type F3 (94m2)</w:t>
            </w:r>
          </w:p>
        </w:tc>
        <w:tc>
          <w:tcPr>
            <w:tcW w:w="1080" w:type="dxa"/>
            <w:tcBorders>
              <w:top w:val="single" w:sz="6" w:space="0" w:color="000000"/>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Nombre total de logements</w:t>
            </w:r>
          </w:p>
        </w:tc>
        <w:tc>
          <w:tcPr>
            <w:tcW w:w="930" w:type="dxa"/>
            <w:tcBorders>
              <w:top w:val="single" w:sz="6" w:space="0" w:color="000000"/>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Surface du Site à apprêter (m2)</w:t>
            </w:r>
          </w:p>
        </w:tc>
        <w:tc>
          <w:tcPr>
            <w:tcW w:w="1335" w:type="dxa"/>
            <w:tcBorders>
              <w:top w:val="single" w:sz="6" w:space="0" w:color="000000"/>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AEP</w:t>
            </w:r>
          </w:p>
        </w:tc>
        <w:tc>
          <w:tcPr>
            <w:tcW w:w="1455" w:type="dxa"/>
            <w:tcBorders>
              <w:top w:val="single" w:sz="6" w:space="0" w:color="000000"/>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Electricité</w:t>
            </w:r>
          </w:p>
        </w:tc>
        <w:tc>
          <w:tcPr>
            <w:tcW w:w="1200" w:type="dxa"/>
            <w:tcBorders>
              <w:top w:val="single" w:sz="6" w:space="0" w:color="000000"/>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Délai d’exécution</w:t>
            </w:r>
          </w:p>
        </w:tc>
      </w:tr>
      <w:tr w:rsidR="00022EEF" w:rsidRPr="00022EEF" w:rsidTr="00022EEF">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1</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Nouadhibou</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60.911m2</w:t>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ind w:left="-435"/>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2 mois</w:t>
            </w:r>
          </w:p>
        </w:tc>
      </w:tr>
      <w:tr w:rsidR="00022EEF" w:rsidRPr="00022EEF" w:rsidTr="00022EEF">
        <w:trPr>
          <w:trHeight w:val="1500"/>
        </w:trPr>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2</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Nouadhibou</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Cuve basse 130 m3 +Château d’eau de 75 m3+ Surpression</w:t>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Poste Transfo 630 KVA + Alimentation des Immeubles</w:t>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ind w:left="-435"/>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5 mois</w:t>
            </w:r>
          </w:p>
        </w:tc>
      </w:tr>
      <w:tr w:rsidR="00022EEF" w:rsidRPr="00022EEF" w:rsidTr="00022EEF">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3</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Nouadhibou</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60</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30</w:t>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b/>
                <w:bCs/>
                <w:i/>
                <w:iCs/>
                <w:color w:val="040404"/>
                <w:sz w:val="18"/>
                <w:szCs w:val="18"/>
                <w:lang w:eastAsia="fr-FR"/>
              </w:rPr>
              <w:t>90</w:t>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18 mois</w:t>
            </w:r>
          </w:p>
        </w:tc>
      </w:tr>
      <w:tr w:rsidR="00022EEF" w:rsidRPr="00022EEF" w:rsidTr="00022EEF">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4</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Nouadhibou</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48</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24</w:t>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b/>
                <w:bCs/>
                <w:i/>
                <w:iCs/>
                <w:color w:val="040404"/>
                <w:sz w:val="18"/>
                <w:szCs w:val="18"/>
                <w:lang w:eastAsia="fr-FR"/>
              </w:rPr>
              <w:t>72</w:t>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18 mois</w:t>
            </w:r>
          </w:p>
        </w:tc>
      </w:tr>
      <w:tr w:rsidR="00022EEF" w:rsidRPr="00022EEF" w:rsidTr="00022EEF">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5</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Nouadhibou</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48</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24</w:t>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b/>
                <w:bCs/>
                <w:i/>
                <w:iCs/>
                <w:color w:val="040404"/>
                <w:sz w:val="18"/>
                <w:szCs w:val="18"/>
                <w:lang w:eastAsia="fr-FR"/>
              </w:rPr>
              <w:t>72</w:t>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18 mois</w:t>
            </w:r>
          </w:p>
        </w:tc>
      </w:tr>
      <w:tr w:rsidR="00022EEF" w:rsidRPr="00022EEF" w:rsidTr="00022EEF">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6</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Nouadhibou</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48</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24</w:t>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b/>
                <w:bCs/>
                <w:i/>
                <w:iCs/>
                <w:color w:val="040404"/>
                <w:sz w:val="18"/>
                <w:szCs w:val="18"/>
                <w:lang w:eastAsia="fr-FR"/>
              </w:rPr>
              <w:t>72</w:t>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18 mois</w:t>
            </w:r>
          </w:p>
        </w:tc>
      </w:tr>
      <w:tr w:rsidR="00022EEF" w:rsidRPr="00022EEF" w:rsidTr="00022EEF">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7</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Nouadhibou</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48</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24</w:t>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b/>
                <w:bCs/>
                <w:i/>
                <w:iCs/>
                <w:color w:val="040404"/>
                <w:sz w:val="18"/>
                <w:szCs w:val="18"/>
                <w:lang w:eastAsia="fr-FR"/>
              </w:rPr>
              <w:t>72</w:t>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ind w:left="-435"/>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18 mois</w:t>
            </w:r>
          </w:p>
        </w:tc>
      </w:tr>
      <w:tr w:rsidR="00022EEF" w:rsidRPr="00022EEF" w:rsidTr="00022EEF">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8</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Zouerate</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40.940 m2</w:t>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ind w:left="-435"/>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2 mois</w:t>
            </w:r>
          </w:p>
        </w:tc>
      </w:tr>
      <w:tr w:rsidR="00022EEF" w:rsidRPr="00022EEF" w:rsidTr="00022EEF">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lastRenderedPageBreak/>
              <w:t>9</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Zouerate</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Cuve basse 130 m3 +Château d’eau de 75 m3+ Surpression</w:t>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Poste Transfo 400 KVA + Alimentation des Immeubles</w:t>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ind w:left="-435"/>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5 mois</w:t>
            </w:r>
          </w:p>
        </w:tc>
      </w:tr>
      <w:tr w:rsidR="00022EEF" w:rsidRPr="00022EEF" w:rsidTr="00022EEF">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10</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Zouerate</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72</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36</w:t>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b/>
                <w:bCs/>
                <w:i/>
                <w:iCs/>
                <w:color w:val="040404"/>
                <w:sz w:val="18"/>
                <w:szCs w:val="18"/>
                <w:lang w:eastAsia="fr-FR"/>
              </w:rPr>
              <w:t>108</w:t>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18 mois</w:t>
            </w:r>
          </w:p>
        </w:tc>
      </w:tr>
      <w:tr w:rsidR="00022EEF" w:rsidRPr="00022EEF" w:rsidTr="00022EEF">
        <w:tc>
          <w:tcPr>
            <w:tcW w:w="540"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11</w:t>
            </w:r>
          </w:p>
        </w:tc>
        <w:tc>
          <w:tcPr>
            <w:tcW w:w="13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Zouerate</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60</w:t>
            </w:r>
          </w:p>
        </w:tc>
        <w:tc>
          <w:tcPr>
            <w:tcW w:w="100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30</w:t>
            </w:r>
          </w:p>
        </w:tc>
        <w:tc>
          <w:tcPr>
            <w:tcW w:w="108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b/>
                <w:bCs/>
                <w:i/>
                <w:iCs/>
                <w:color w:val="040404"/>
                <w:sz w:val="18"/>
                <w:szCs w:val="18"/>
                <w:lang w:eastAsia="fr-FR"/>
              </w:rPr>
              <w:t>90</w:t>
            </w:r>
          </w:p>
        </w:tc>
        <w:tc>
          <w:tcPr>
            <w:tcW w:w="93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33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455"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ind w:left="-435"/>
              <w:jc w:val="center"/>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18 mois</w:t>
            </w:r>
          </w:p>
        </w:tc>
      </w:tr>
    </w:tbl>
    <w:p w:rsidR="00022EEF" w:rsidRPr="00022EEF" w:rsidRDefault="00022EEF" w:rsidP="00022EEF">
      <w:pPr>
        <w:shd w:val="clear" w:color="auto" w:fill="FFFFFF"/>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p w:rsidR="00022EEF" w:rsidRPr="00022EEF" w:rsidRDefault="00022EEF" w:rsidP="00022EEF">
      <w:pPr>
        <w:numPr>
          <w:ilvl w:val="0"/>
          <w:numId w:val="12"/>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Les candidats peuvent soumissionner à tous les lots, mais l</w:t>
      </w:r>
      <w:r w:rsidRPr="00022EEF">
        <w:rPr>
          <w:rFonts w:ascii="Verdana" w:eastAsia="Times New Roman" w:hAnsi="Verdana" w:cs="Segoe UI"/>
          <w:b/>
          <w:bCs/>
          <w:i/>
          <w:iCs/>
          <w:color w:val="040404"/>
          <w:sz w:val="18"/>
          <w:szCs w:val="18"/>
          <w:lang w:eastAsia="fr-FR"/>
        </w:rPr>
        <w:t>e nombre maximum de lot qui peut être attribué à un Soumissionnaire est de deux lots.</w:t>
      </w:r>
    </w:p>
    <w:p w:rsidR="00022EEF" w:rsidRPr="00022EEF" w:rsidRDefault="00022EEF" w:rsidP="00022EEF">
      <w:pPr>
        <w:numPr>
          <w:ilvl w:val="0"/>
          <w:numId w:val="13"/>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Le présent appel d'offres est ouvert à tous les candidats remplissant les conditions définies dans le Dossier d'Appel d'Offres.</w:t>
      </w:r>
    </w:p>
    <w:p w:rsidR="00022EEF" w:rsidRPr="00022EEF" w:rsidRDefault="00022EEF" w:rsidP="00022EEF">
      <w:pPr>
        <w:numPr>
          <w:ilvl w:val="0"/>
          <w:numId w:val="14"/>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i/>
          <w:iCs/>
          <w:color w:val="040404"/>
          <w:sz w:val="18"/>
          <w:szCs w:val="18"/>
          <w:lang w:eastAsia="fr-FR"/>
        </w:rPr>
        <w:t xml:space="preserve">Les candidats intéressés peuvent obtenir des informations auprès du Coordinateur du Programme DARI TAAZOUR - Mr </w:t>
      </w:r>
      <w:proofErr w:type="spellStart"/>
      <w:r w:rsidRPr="00022EEF">
        <w:rPr>
          <w:rFonts w:ascii="Verdana" w:eastAsia="Times New Roman" w:hAnsi="Verdana" w:cs="Segoe UI"/>
          <w:i/>
          <w:iCs/>
          <w:color w:val="040404"/>
          <w:sz w:val="18"/>
          <w:szCs w:val="18"/>
          <w:lang w:eastAsia="fr-FR"/>
        </w:rPr>
        <w:t>Hamoud</w:t>
      </w:r>
      <w:proofErr w:type="spellEnd"/>
      <w:r w:rsidRPr="00022EEF">
        <w:rPr>
          <w:rFonts w:ascii="Verdana" w:eastAsia="Times New Roman" w:hAnsi="Verdana" w:cs="Segoe UI"/>
          <w:i/>
          <w:iCs/>
          <w:color w:val="040404"/>
          <w:sz w:val="18"/>
          <w:szCs w:val="18"/>
          <w:lang w:eastAsia="fr-FR"/>
        </w:rPr>
        <w:t xml:space="preserve"> MAHMOUDEN - 27505034, hamoude12879@gmail.com et prendr</w:t>
      </w:r>
      <w:r w:rsidRPr="00022EEF">
        <w:rPr>
          <w:rFonts w:ascii="Verdana" w:eastAsia="Times New Roman" w:hAnsi="Verdana" w:cs="Segoe UI"/>
          <w:color w:val="040404"/>
          <w:sz w:val="18"/>
          <w:szCs w:val="18"/>
          <w:lang w:eastAsia="fr-FR"/>
        </w:rPr>
        <w:t>e connaissance des documents d’Appel d’offres à l’adresse mentionnée ci-après : Siège TAAZOUR </w:t>
      </w:r>
      <w:r w:rsidRPr="00022EEF">
        <w:rPr>
          <w:rFonts w:ascii="Verdana" w:eastAsia="Times New Roman" w:hAnsi="Verdana" w:cs="Segoe UI"/>
          <w:color w:val="040404"/>
          <w:sz w:val="18"/>
          <w:szCs w:val="18"/>
          <w:shd w:val="clear" w:color="auto" w:fill="FFFF00"/>
          <w:lang w:eastAsia="fr-FR"/>
        </w:rPr>
        <w:t>Ilot C- N°520 - TVZ</w:t>
      </w:r>
      <w:r w:rsidRPr="00022EEF">
        <w:rPr>
          <w:rFonts w:ascii="Verdana" w:eastAsia="Times New Roman" w:hAnsi="Verdana" w:cs="Segoe UI"/>
          <w:color w:val="040404"/>
          <w:sz w:val="18"/>
          <w:szCs w:val="18"/>
          <w:lang w:eastAsia="fr-FR"/>
        </w:rPr>
        <w:t> – Tel: 45 24 38 88/45 24 38 99 –  Fax: 45 24 39 11- Nouakchott - Mauritanie de 9 heures à 16 heures.</w:t>
      </w:r>
    </w:p>
    <w:p w:rsidR="00022EEF" w:rsidRPr="00022EEF" w:rsidRDefault="00022EEF" w:rsidP="00022EEF">
      <w:pPr>
        <w:numPr>
          <w:ilvl w:val="0"/>
          <w:numId w:val="15"/>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Les exigences en matière de qualification sont :</w:t>
      </w:r>
    </w:p>
    <w:p w:rsidR="00022EEF" w:rsidRPr="00022EEF" w:rsidRDefault="00022EEF" w:rsidP="00022EEF">
      <w:pPr>
        <w:numPr>
          <w:ilvl w:val="0"/>
          <w:numId w:val="16"/>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Avoir effectivement exécuté en tant qu’entreprise principale, au cours des cinq (5) dernières années, </w:t>
      </w:r>
      <w:r w:rsidRPr="00022EEF">
        <w:rPr>
          <w:rFonts w:ascii="Verdana" w:eastAsia="Times New Roman" w:hAnsi="Verdana" w:cs="Segoe UI"/>
          <w:b/>
          <w:bCs/>
          <w:color w:val="040404"/>
          <w:sz w:val="18"/>
          <w:szCs w:val="18"/>
          <w:lang w:eastAsia="fr-FR"/>
        </w:rPr>
        <w:t>au moins deux marchés similaires attestés par un Maître d’Ouvrage public ou parapublic (pour des constructions de logements et d’administration), </w:t>
      </w:r>
      <w:r w:rsidRPr="00022EEF">
        <w:rPr>
          <w:rFonts w:ascii="Verdana" w:eastAsia="Times New Roman" w:hAnsi="Verdana" w:cs="Segoe UI"/>
          <w:color w:val="040404"/>
          <w:sz w:val="18"/>
          <w:szCs w:val="18"/>
          <w:lang w:eastAsia="fr-FR"/>
        </w:rPr>
        <w:t>qui ont été exécutées et achevées de manière satisfaisante, et qui sont similaires aux travaux proposés. La similitude portera sur la taille physique, la complexité, les méthodes/technologies ou autres caractéristiques telles que décrites dans la Section V, Spécifications des Travaux. En plus du PV de réception ou attestation justifiant l’expérience, l’entreprise doit fournir les pages de garde et de signature du marché ;</w:t>
      </w:r>
    </w:p>
    <w:p w:rsidR="00022EEF" w:rsidRPr="00022EEF" w:rsidRDefault="00022EEF" w:rsidP="00022EEF">
      <w:pPr>
        <w:numPr>
          <w:ilvl w:val="0"/>
          <w:numId w:val="16"/>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Avoir réalisé un chiffre d’affaires moyen annuel au cours des 5 dernières années, supérieur ou égal à : </w:t>
      </w:r>
      <w:r w:rsidRPr="00022EEF">
        <w:rPr>
          <w:rFonts w:ascii="Verdana" w:eastAsia="Times New Roman" w:hAnsi="Verdana" w:cs="Segoe UI"/>
          <w:b/>
          <w:bCs/>
          <w:color w:val="040404"/>
          <w:sz w:val="18"/>
          <w:szCs w:val="18"/>
          <w:lang w:eastAsia="fr-FR"/>
        </w:rPr>
        <w:t xml:space="preserve">14.500.000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1– </w:t>
      </w:r>
      <w:r w:rsidRPr="00022EEF">
        <w:rPr>
          <w:rFonts w:ascii="Verdana" w:eastAsia="Times New Roman" w:hAnsi="Verdana" w:cs="Segoe UI"/>
          <w:b/>
          <w:bCs/>
          <w:color w:val="040404"/>
          <w:sz w:val="18"/>
          <w:szCs w:val="18"/>
          <w:lang w:eastAsia="fr-FR"/>
        </w:rPr>
        <w:t xml:space="preserve">22.000.000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2 - </w:t>
      </w:r>
      <w:r w:rsidRPr="00022EEF">
        <w:rPr>
          <w:rFonts w:ascii="Verdana" w:eastAsia="Times New Roman" w:hAnsi="Verdana" w:cs="Segoe UI"/>
          <w:b/>
          <w:bCs/>
          <w:color w:val="040404"/>
          <w:sz w:val="18"/>
          <w:szCs w:val="18"/>
          <w:lang w:eastAsia="fr-FR"/>
        </w:rPr>
        <w:t xml:space="preserve">88.000.000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3 - </w:t>
      </w:r>
      <w:r w:rsidRPr="00022EEF">
        <w:rPr>
          <w:rFonts w:ascii="Verdana" w:eastAsia="Times New Roman" w:hAnsi="Verdana" w:cs="Segoe UI"/>
          <w:b/>
          <w:bCs/>
          <w:color w:val="040404"/>
          <w:sz w:val="18"/>
          <w:szCs w:val="18"/>
          <w:lang w:eastAsia="fr-FR"/>
        </w:rPr>
        <w:t xml:space="preserve">70.000.000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les lots 4, 5, 6 et 7 – </w:t>
      </w:r>
      <w:r w:rsidRPr="00022EEF">
        <w:rPr>
          <w:rFonts w:ascii="Verdana" w:eastAsia="Times New Roman" w:hAnsi="Verdana" w:cs="Segoe UI"/>
          <w:b/>
          <w:bCs/>
          <w:color w:val="040404"/>
          <w:sz w:val="18"/>
          <w:szCs w:val="18"/>
          <w:lang w:eastAsia="fr-FR"/>
        </w:rPr>
        <w:t xml:space="preserve">5.500.000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8 -</w:t>
      </w:r>
      <w:r w:rsidRPr="00022EEF">
        <w:rPr>
          <w:rFonts w:ascii="Verdana" w:eastAsia="Times New Roman" w:hAnsi="Verdana" w:cs="Segoe UI"/>
          <w:b/>
          <w:bCs/>
          <w:color w:val="040404"/>
          <w:sz w:val="18"/>
          <w:szCs w:val="18"/>
          <w:lang w:eastAsia="fr-FR"/>
        </w:rPr>
        <w:t xml:space="preserve">10.000.000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9 -</w:t>
      </w:r>
      <w:r w:rsidRPr="00022EEF">
        <w:rPr>
          <w:rFonts w:ascii="Verdana" w:eastAsia="Times New Roman" w:hAnsi="Verdana" w:cs="Segoe UI"/>
          <w:b/>
          <w:bCs/>
          <w:color w:val="040404"/>
          <w:sz w:val="18"/>
          <w:szCs w:val="18"/>
          <w:lang w:eastAsia="fr-FR"/>
        </w:rPr>
        <w:t xml:space="preserve">120.000.000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10 - </w:t>
      </w:r>
      <w:r w:rsidRPr="00022EEF">
        <w:rPr>
          <w:rFonts w:ascii="Verdana" w:eastAsia="Times New Roman" w:hAnsi="Verdana" w:cs="Segoe UI"/>
          <w:b/>
          <w:bCs/>
          <w:color w:val="040404"/>
          <w:sz w:val="18"/>
          <w:szCs w:val="18"/>
          <w:lang w:eastAsia="fr-FR"/>
        </w:rPr>
        <w:t xml:space="preserve">100.000.000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11, ce pour des travaux de construction attestés par un Maître d’Ouvrage public ou parapublic,</w:t>
      </w:r>
    </w:p>
    <w:p w:rsidR="00022EEF" w:rsidRPr="00022EEF" w:rsidRDefault="00022EEF" w:rsidP="00022EEF">
      <w:pPr>
        <w:numPr>
          <w:ilvl w:val="0"/>
          <w:numId w:val="16"/>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Disposer du matériel minimum, en possession ou en location, décrit au Règlement Particulier de l’Appel d’Offres ;</w:t>
      </w:r>
    </w:p>
    <w:p w:rsidR="00022EEF" w:rsidRPr="00022EEF" w:rsidRDefault="00022EEF" w:rsidP="00022EEF">
      <w:pPr>
        <w:numPr>
          <w:ilvl w:val="0"/>
          <w:numId w:val="16"/>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Proposer le personnel clé décrit au Règlement Particulier de l’Appel d’Offres. L’entreprise fournira pour chaque membre du personnel : le diplôme, le CV et l’engagement de disponibilité signé ;</w:t>
      </w:r>
    </w:p>
    <w:p w:rsidR="00022EEF" w:rsidRPr="00022EEF" w:rsidRDefault="00022EEF" w:rsidP="00022EEF">
      <w:pPr>
        <w:numPr>
          <w:ilvl w:val="0"/>
          <w:numId w:val="16"/>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Disposer d’une attestation de financement bancaire d’un montant de : </w:t>
      </w:r>
      <w:r w:rsidRPr="00022EEF">
        <w:rPr>
          <w:rFonts w:ascii="Verdana" w:eastAsia="Times New Roman" w:hAnsi="Verdana" w:cs="Segoe UI"/>
          <w:b/>
          <w:bCs/>
          <w:color w:val="040404"/>
          <w:sz w:val="18"/>
          <w:szCs w:val="18"/>
          <w:lang w:eastAsia="fr-FR"/>
        </w:rPr>
        <w:t xml:space="preserve">6.300.000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1 – </w:t>
      </w:r>
      <w:r w:rsidRPr="00022EEF">
        <w:rPr>
          <w:rFonts w:ascii="Verdana" w:eastAsia="Times New Roman" w:hAnsi="Verdana" w:cs="Segoe UI"/>
          <w:b/>
          <w:bCs/>
          <w:color w:val="040404"/>
          <w:sz w:val="18"/>
          <w:szCs w:val="18"/>
          <w:lang w:eastAsia="fr-FR"/>
        </w:rPr>
        <w:t xml:space="preserve">9.300.000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2 - </w:t>
      </w:r>
      <w:r w:rsidRPr="00022EEF">
        <w:rPr>
          <w:rFonts w:ascii="Verdana" w:eastAsia="Times New Roman" w:hAnsi="Verdana" w:cs="Segoe UI"/>
          <w:b/>
          <w:bCs/>
          <w:color w:val="040404"/>
          <w:sz w:val="18"/>
          <w:szCs w:val="18"/>
          <w:lang w:eastAsia="fr-FR"/>
        </w:rPr>
        <w:t xml:space="preserve">37.500.000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3 - </w:t>
      </w:r>
      <w:r w:rsidRPr="00022EEF">
        <w:rPr>
          <w:rFonts w:ascii="Verdana" w:eastAsia="Times New Roman" w:hAnsi="Verdana" w:cs="Segoe UI"/>
          <w:b/>
          <w:bCs/>
          <w:color w:val="040404"/>
          <w:sz w:val="18"/>
          <w:szCs w:val="18"/>
          <w:lang w:eastAsia="fr-FR"/>
        </w:rPr>
        <w:t xml:space="preserve">30.250.000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les lots 4, 5, 6 et 7 -</w:t>
      </w:r>
      <w:r w:rsidRPr="00022EEF">
        <w:rPr>
          <w:rFonts w:ascii="Verdana" w:eastAsia="Times New Roman" w:hAnsi="Verdana" w:cs="Segoe UI"/>
          <w:b/>
          <w:bCs/>
          <w:color w:val="040404"/>
          <w:sz w:val="18"/>
          <w:szCs w:val="18"/>
          <w:lang w:eastAsia="fr-FR"/>
        </w:rPr>
        <w:t xml:space="preserve">2.300.000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8 -</w:t>
      </w:r>
      <w:r w:rsidRPr="00022EEF">
        <w:rPr>
          <w:rFonts w:ascii="Verdana" w:eastAsia="Times New Roman" w:hAnsi="Verdana" w:cs="Segoe UI"/>
          <w:b/>
          <w:bCs/>
          <w:color w:val="040404"/>
          <w:sz w:val="18"/>
          <w:szCs w:val="18"/>
          <w:lang w:eastAsia="fr-FR"/>
        </w:rPr>
        <w:t xml:space="preserve">4.400.000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9 -</w:t>
      </w:r>
      <w:r w:rsidRPr="00022EEF">
        <w:rPr>
          <w:rFonts w:ascii="Verdana" w:eastAsia="Times New Roman" w:hAnsi="Verdana" w:cs="Segoe UI"/>
          <w:b/>
          <w:bCs/>
          <w:color w:val="040404"/>
          <w:sz w:val="18"/>
          <w:szCs w:val="18"/>
          <w:lang w:eastAsia="fr-FR"/>
        </w:rPr>
        <w:t xml:space="preserve">52.000.000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10 - </w:t>
      </w:r>
      <w:r w:rsidRPr="00022EEF">
        <w:rPr>
          <w:rFonts w:ascii="Verdana" w:eastAsia="Times New Roman" w:hAnsi="Verdana" w:cs="Segoe UI"/>
          <w:b/>
          <w:bCs/>
          <w:color w:val="040404"/>
          <w:sz w:val="18"/>
          <w:szCs w:val="18"/>
          <w:lang w:eastAsia="fr-FR"/>
        </w:rPr>
        <w:t xml:space="preserve">43.000.000 </w:t>
      </w:r>
      <w:proofErr w:type="spellStart"/>
      <w:r w:rsidRPr="00022EEF">
        <w:rPr>
          <w:rFonts w:ascii="Verdana" w:eastAsia="Times New Roman" w:hAnsi="Verdana" w:cs="Segoe UI"/>
          <w:b/>
          <w:bCs/>
          <w:color w:val="040404"/>
          <w:sz w:val="18"/>
          <w:szCs w:val="18"/>
          <w:lang w:eastAsia="fr-FR"/>
        </w:rPr>
        <w:t>Mru</w:t>
      </w:r>
      <w:proofErr w:type="spellEnd"/>
      <w:r w:rsidRPr="00022EEF">
        <w:rPr>
          <w:rFonts w:ascii="Verdana" w:eastAsia="Times New Roman" w:hAnsi="Verdana" w:cs="Segoe UI"/>
          <w:color w:val="040404"/>
          <w:sz w:val="18"/>
          <w:szCs w:val="18"/>
          <w:lang w:eastAsia="fr-FR"/>
        </w:rPr>
        <w:t> pour le lot 11, délivrée par une banque et destinée au besoin en fonds de roulement pour l’exécution du marché.</w:t>
      </w:r>
    </w:p>
    <w:p w:rsidR="00022EEF" w:rsidRPr="00022EEF" w:rsidRDefault="00022EEF" w:rsidP="00022EEF">
      <w:pPr>
        <w:numPr>
          <w:ilvl w:val="0"/>
          <w:numId w:val="17"/>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Voir le document d’Appel d’offres pour les informations détaillées.</w:t>
      </w:r>
    </w:p>
    <w:p w:rsidR="00022EEF" w:rsidRPr="00022EEF" w:rsidRDefault="00022EEF" w:rsidP="00022EEF">
      <w:pPr>
        <w:numPr>
          <w:ilvl w:val="0"/>
          <w:numId w:val="18"/>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b/>
          <w:bCs/>
          <w:color w:val="040404"/>
          <w:sz w:val="18"/>
          <w:szCs w:val="18"/>
          <w:lang w:eastAsia="fr-FR"/>
        </w:rPr>
        <w:t>Le dossier </w:t>
      </w:r>
      <w:r w:rsidRPr="00022EEF">
        <w:rPr>
          <w:rFonts w:ascii="Verdana" w:eastAsia="Times New Roman" w:hAnsi="Verdana" w:cs="Segoe UI"/>
          <w:color w:val="040404"/>
          <w:sz w:val="18"/>
          <w:szCs w:val="18"/>
          <w:lang w:eastAsia="fr-FR"/>
        </w:rPr>
        <w:t>d’Appel d’Offre, en version authentique cachetée par la CPMP/TAAZOUR, pourra être obtenu auprès du Programme DARI/TAAZOUR contre reçu de versement de la somme, non remboursable, de </w:t>
      </w:r>
      <w:r w:rsidRPr="00022EEF">
        <w:rPr>
          <w:rFonts w:ascii="Verdana" w:eastAsia="Times New Roman" w:hAnsi="Verdana" w:cs="Segoe UI"/>
          <w:b/>
          <w:bCs/>
          <w:color w:val="040404"/>
          <w:sz w:val="18"/>
          <w:szCs w:val="18"/>
          <w:lang w:eastAsia="fr-FR"/>
        </w:rPr>
        <w:t>vingt mille ouguiyas (20.000 MRU)</w:t>
      </w:r>
      <w:r w:rsidRPr="00022EEF">
        <w:rPr>
          <w:rFonts w:ascii="Verdana" w:eastAsia="Times New Roman" w:hAnsi="Verdana" w:cs="Segoe UI"/>
          <w:color w:val="040404"/>
          <w:sz w:val="18"/>
          <w:szCs w:val="18"/>
          <w:lang w:eastAsia="fr-FR"/>
        </w:rPr>
        <w:t> au Trésor Public exclusivement, seule la copie cachetée et paraphée fait foi ;</w:t>
      </w:r>
    </w:p>
    <w:p w:rsidR="00022EEF" w:rsidRPr="00022EEF" w:rsidRDefault="00022EEF" w:rsidP="00022EEF">
      <w:pPr>
        <w:numPr>
          <w:ilvl w:val="0"/>
          <w:numId w:val="19"/>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b/>
          <w:bCs/>
          <w:color w:val="040404"/>
          <w:sz w:val="18"/>
          <w:szCs w:val="18"/>
          <w:lang w:eastAsia="fr-FR"/>
        </w:rPr>
        <w:lastRenderedPageBreak/>
        <w:t>Les soumissions</w:t>
      </w:r>
      <w:r w:rsidRPr="00022EEF">
        <w:rPr>
          <w:rFonts w:ascii="Verdana" w:eastAsia="Times New Roman" w:hAnsi="Verdana" w:cs="Segoe UI"/>
          <w:color w:val="040404"/>
          <w:sz w:val="18"/>
          <w:szCs w:val="18"/>
          <w:lang w:eastAsia="fr-FR"/>
        </w:rPr>
        <w:t> d’une validité de 90 jours à compter de la date limite de dépôt des offres doivent être établies en français.</w:t>
      </w:r>
    </w:p>
    <w:p w:rsidR="00022EEF" w:rsidRPr="00022EEF" w:rsidRDefault="00022EEF" w:rsidP="00022EEF">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b/>
          <w:bCs/>
          <w:color w:val="040404"/>
          <w:sz w:val="18"/>
          <w:szCs w:val="18"/>
          <w:lang w:eastAsia="fr-FR"/>
        </w:rPr>
        <w:t>  Les offres </w:t>
      </w:r>
      <w:r w:rsidRPr="00022EEF">
        <w:rPr>
          <w:rFonts w:ascii="Verdana" w:eastAsia="Times New Roman" w:hAnsi="Verdana" w:cs="Segoe UI"/>
          <w:color w:val="040404"/>
          <w:sz w:val="18"/>
          <w:szCs w:val="18"/>
          <w:lang w:eastAsia="fr-FR"/>
        </w:rPr>
        <w:t>seront placées dans une enveloppe fermée, qui ne devra comporter que la mention :</w:t>
      </w:r>
    </w:p>
    <w:p w:rsidR="00022EEF" w:rsidRPr="00022EEF" w:rsidRDefault="00022EEF" w:rsidP="00022EEF">
      <w:pPr>
        <w:shd w:val="clear" w:color="auto" w:fill="FFFFFF"/>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b/>
          <w:bCs/>
          <w:color w:val="040404"/>
          <w:sz w:val="18"/>
          <w:szCs w:val="18"/>
          <w:lang w:eastAsia="fr-FR"/>
        </w:rPr>
        <w:t> « A Monsieur le Président de la Commission de Passation des Marchés de TAAZOUR, Lot 105 –ilot B Nord – TVZ, en face du Guichet unique, Nouakchott-Mauritanie</w:t>
      </w:r>
    </w:p>
    <w:p w:rsidR="00022EEF" w:rsidRPr="00022EEF" w:rsidRDefault="00022EEF" w:rsidP="00022EEF">
      <w:pPr>
        <w:shd w:val="clear" w:color="auto" w:fill="FFFFFF"/>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Pli à n’ouvrir qu’en séance de dépouillement</w:t>
      </w:r>
    </w:p>
    <w:p w:rsidR="00022EEF" w:rsidRPr="00022EEF" w:rsidRDefault="00022EEF" w:rsidP="00022EEF">
      <w:pPr>
        <w:numPr>
          <w:ilvl w:val="0"/>
          <w:numId w:val="21"/>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Les offres doivent être transmises, sous peine de forclusion, au plus </w:t>
      </w:r>
      <w:r w:rsidRPr="00022EEF">
        <w:rPr>
          <w:rFonts w:ascii="Verdana" w:eastAsia="Times New Roman" w:hAnsi="Verdana" w:cs="Segoe UI"/>
          <w:b/>
          <w:bCs/>
          <w:color w:val="040404"/>
          <w:sz w:val="18"/>
          <w:szCs w:val="18"/>
          <w:lang w:eastAsia="fr-FR"/>
        </w:rPr>
        <w:t>tard le 07/03/2023     à 12 heures TU</w:t>
      </w:r>
      <w:r w:rsidRPr="00022EEF">
        <w:rPr>
          <w:rFonts w:ascii="Verdana" w:eastAsia="Times New Roman" w:hAnsi="Verdana" w:cs="Segoe UI"/>
          <w:color w:val="040404"/>
          <w:sz w:val="18"/>
          <w:szCs w:val="18"/>
          <w:lang w:eastAsia="fr-FR"/>
        </w:rPr>
        <w:t> en quatre (4) exemplaires dont un (1) original marqué comme tel et trois (3) copies ;</w:t>
      </w:r>
    </w:p>
    <w:p w:rsidR="00022EEF" w:rsidRPr="00022EEF" w:rsidRDefault="00022EEF" w:rsidP="00022EEF">
      <w:pPr>
        <w:numPr>
          <w:ilvl w:val="0"/>
          <w:numId w:val="22"/>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Les plis contenant les soumissions seront ouverts, en séance publique, </w:t>
      </w:r>
      <w:r w:rsidRPr="00022EEF">
        <w:rPr>
          <w:rFonts w:ascii="Verdana" w:eastAsia="Times New Roman" w:hAnsi="Verdana" w:cs="Segoe UI"/>
          <w:b/>
          <w:bCs/>
          <w:color w:val="040404"/>
          <w:sz w:val="18"/>
          <w:szCs w:val="18"/>
          <w:lang w:eastAsia="fr-FR"/>
        </w:rPr>
        <w:t>le 07/03/2023 à 12 heures TU</w:t>
      </w:r>
      <w:r w:rsidRPr="00022EEF">
        <w:rPr>
          <w:rFonts w:ascii="Verdana" w:eastAsia="Times New Roman" w:hAnsi="Verdana" w:cs="Segoe UI"/>
          <w:color w:val="040404"/>
          <w:sz w:val="18"/>
          <w:szCs w:val="18"/>
          <w:lang w:eastAsia="fr-FR"/>
        </w:rPr>
        <w:t>, par la Commission Passation des Marchés Publics de TAAZOUR en présence des soumissionnaires qui souhaitent y assister ;</w:t>
      </w:r>
    </w:p>
    <w:p w:rsidR="00022EEF" w:rsidRPr="00022EEF" w:rsidRDefault="00022EEF" w:rsidP="00022EEF">
      <w:pPr>
        <w:numPr>
          <w:ilvl w:val="0"/>
          <w:numId w:val="23"/>
        </w:numPr>
        <w:shd w:val="clear" w:color="auto" w:fill="FFFFFF"/>
        <w:spacing w:before="100" w:beforeAutospacing="1"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Les soumissions doivent être accompagnées d’une garantie de soumission d’un montant de :</w:t>
      </w:r>
    </w:p>
    <w:tbl>
      <w:tblPr>
        <w:tblW w:w="859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5196"/>
        <w:gridCol w:w="3399"/>
      </w:tblGrid>
      <w:tr w:rsidR="00022EEF" w:rsidRPr="00022EEF" w:rsidTr="00022EEF">
        <w:tc>
          <w:tcPr>
            <w:tcW w:w="5205" w:type="dxa"/>
            <w:tcBorders>
              <w:top w:val="single" w:sz="6" w:space="0" w:color="000000"/>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LOTS</w:t>
            </w:r>
          </w:p>
        </w:tc>
        <w:tc>
          <w:tcPr>
            <w:tcW w:w="3405" w:type="dxa"/>
            <w:tcBorders>
              <w:top w:val="single" w:sz="6" w:space="0" w:color="000000"/>
              <w:left w:val="nil"/>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Montant de la Garantie</w:t>
            </w:r>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1 : Apprêtement du Site pour Logements type HC  à Nouadhibou</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210 000 </w:t>
            </w:r>
            <w:proofErr w:type="spellStart"/>
            <w:r w:rsidRPr="00022EEF">
              <w:rPr>
                <w:rFonts w:ascii="Verdana" w:eastAsia="Times New Roman" w:hAnsi="Verdana" w:cs="Segoe UI"/>
                <w:color w:val="040404"/>
                <w:sz w:val="18"/>
                <w:szCs w:val="18"/>
                <w:lang w:eastAsia="fr-FR"/>
              </w:rPr>
              <w:t>Mru</w:t>
            </w:r>
            <w:proofErr w:type="spellEnd"/>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2 : Alimentation AEP/ Electricité des Immeubles type HC à Nouadhibou</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310. 000 </w:t>
            </w:r>
            <w:proofErr w:type="spellStart"/>
            <w:r w:rsidRPr="00022EEF">
              <w:rPr>
                <w:rFonts w:ascii="Verdana" w:eastAsia="Times New Roman" w:hAnsi="Verdana" w:cs="Segoe UI"/>
                <w:color w:val="040404"/>
                <w:sz w:val="18"/>
                <w:szCs w:val="18"/>
                <w:lang w:eastAsia="fr-FR"/>
              </w:rPr>
              <w:t>Mru</w:t>
            </w:r>
            <w:proofErr w:type="spellEnd"/>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3 : 90 logements Sociaux type HC (RDC+2) à Nouadhibou</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1.255. 000 </w:t>
            </w:r>
            <w:proofErr w:type="spellStart"/>
            <w:r w:rsidRPr="00022EEF">
              <w:rPr>
                <w:rFonts w:ascii="Verdana" w:eastAsia="Times New Roman" w:hAnsi="Verdana" w:cs="Segoe UI"/>
                <w:color w:val="040404"/>
                <w:sz w:val="18"/>
                <w:szCs w:val="18"/>
                <w:lang w:eastAsia="fr-FR"/>
              </w:rPr>
              <w:t>Mru</w:t>
            </w:r>
            <w:proofErr w:type="spellEnd"/>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4 : 70 logements Sociaux type HC (RDC+2)  à Nouadhibou</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1.000. 000 </w:t>
            </w:r>
            <w:proofErr w:type="spellStart"/>
            <w:r w:rsidRPr="00022EEF">
              <w:rPr>
                <w:rFonts w:ascii="Verdana" w:eastAsia="Times New Roman" w:hAnsi="Verdana" w:cs="Segoe UI"/>
                <w:color w:val="040404"/>
                <w:sz w:val="18"/>
                <w:szCs w:val="18"/>
                <w:lang w:eastAsia="fr-FR"/>
              </w:rPr>
              <w:t>Mru</w:t>
            </w:r>
            <w:proofErr w:type="spellEnd"/>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5 : 70 logements Sociaux type HC (RDC+2)  à Nouadhibou</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1.000. 000 </w:t>
            </w:r>
            <w:proofErr w:type="spellStart"/>
            <w:r w:rsidRPr="00022EEF">
              <w:rPr>
                <w:rFonts w:ascii="Verdana" w:eastAsia="Times New Roman" w:hAnsi="Verdana" w:cs="Segoe UI"/>
                <w:color w:val="040404"/>
                <w:sz w:val="18"/>
                <w:szCs w:val="18"/>
                <w:lang w:eastAsia="fr-FR"/>
              </w:rPr>
              <w:t>Mru</w:t>
            </w:r>
            <w:proofErr w:type="spellEnd"/>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6 : 70 logements Sociaux type HC (RDC+2)  à Nouadhibou</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1.000. 000 </w:t>
            </w:r>
            <w:proofErr w:type="spellStart"/>
            <w:r w:rsidRPr="00022EEF">
              <w:rPr>
                <w:rFonts w:ascii="Verdana" w:eastAsia="Times New Roman" w:hAnsi="Verdana" w:cs="Segoe UI"/>
                <w:color w:val="040404"/>
                <w:sz w:val="18"/>
                <w:szCs w:val="18"/>
                <w:lang w:eastAsia="fr-FR"/>
              </w:rPr>
              <w:t>Mru</w:t>
            </w:r>
            <w:proofErr w:type="spellEnd"/>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7 : 70 logements Sociaux type HC (RDC+2)  à Nouadhibou</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1.000. 000 </w:t>
            </w:r>
            <w:proofErr w:type="spellStart"/>
            <w:r w:rsidRPr="00022EEF">
              <w:rPr>
                <w:rFonts w:ascii="Verdana" w:eastAsia="Times New Roman" w:hAnsi="Verdana" w:cs="Segoe UI"/>
                <w:color w:val="040404"/>
                <w:sz w:val="18"/>
                <w:szCs w:val="18"/>
                <w:lang w:eastAsia="fr-FR"/>
              </w:rPr>
              <w:t>Mru</w:t>
            </w:r>
            <w:proofErr w:type="spellEnd"/>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8 : Apprêtement du Site pour Logements type HC  à Zouerate</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80 000 </w:t>
            </w:r>
            <w:proofErr w:type="spellStart"/>
            <w:r w:rsidRPr="00022EEF">
              <w:rPr>
                <w:rFonts w:ascii="Verdana" w:eastAsia="Times New Roman" w:hAnsi="Verdana" w:cs="Segoe UI"/>
                <w:color w:val="040404"/>
                <w:sz w:val="18"/>
                <w:szCs w:val="18"/>
                <w:lang w:eastAsia="fr-FR"/>
              </w:rPr>
              <w:t>Mru</w:t>
            </w:r>
            <w:proofErr w:type="spellEnd"/>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9 : Alimentation AEP/ Electricité des Immeubles type HC à Zouerate</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145. 000 </w:t>
            </w:r>
            <w:proofErr w:type="spellStart"/>
            <w:r w:rsidRPr="00022EEF">
              <w:rPr>
                <w:rFonts w:ascii="Verdana" w:eastAsia="Times New Roman" w:hAnsi="Verdana" w:cs="Segoe UI"/>
                <w:color w:val="040404"/>
                <w:sz w:val="18"/>
                <w:szCs w:val="18"/>
                <w:lang w:eastAsia="fr-FR"/>
              </w:rPr>
              <w:t>Mru</w:t>
            </w:r>
            <w:proofErr w:type="spellEnd"/>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10 : 108 logements Sociaux type HC (RDC+2) à Nouadhibou</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1.725. 000 </w:t>
            </w:r>
            <w:proofErr w:type="spellStart"/>
            <w:r w:rsidRPr="00022EEF">
              <w:rPr>
                <w:rFonts w:ascii="Verdana" w:eastAsia="Times New Roman" w:hAnsi="Verdana" w:cs="Segoe UI"/>
                <w:color w:val="040404"/>
                <w:sz w:val="18"/>
                <w:szCs w:val="18"/>
                <w:lang w:eastAsia="fr-FR"/>
              </w:rPr>
              <w:t>Mru</w:t>
            </w:r>
            <w:proofErr w:type="spellEnd"/>
          </w:p>
        </w:tc>
      </w:tr>
      <w:tr w:rsidR="00022EEF" w:rsidRPr="00022EEF" w:rsidTr="00022EEF">
        <w:tc>
          <w:tcPr>
            <w:tcW w:w="5205" w:type="dxa"/>
            <w:tcBorders>
              <w:top w:val="nil"/>
              <w:left w:val="single" w:sz="6" w:space="0" w:color="000000"/>
              <w:bottom w:val="single" w:sz="6" w:space="0" w:color="000000"/>
              <w:right w:val="single" w:sz="6" w:space="0" w:color="000000"/>
            </w:tcBorders>
            <w:shd w:val="clear" w:color="auto" w:fill="FFFFFF"/>
            <w:hideMark/>
          </w:tcPr>
          <w:p w:rsidR="00022EEF" w:rsidRPr="00022EEF" w:rsidRDefault="00022EEF" w:rsidP="00022EEF">
            <w:pPr>
              <w:spacing w:after="100" w:afterAutospacing="1" w:line="240" w:lineRule="auto"/>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Lot 11 : 90 logements Sociaux type HC (RDC+2)  à Nouadhibou</w:t>
            </w:r>
          </w:p>
        </w:tc>
        <w:tc>
          <w:tcPr>
            <w:tcW w:w="3405" w:type="dxa"/>
            <w:tcBorders>
              <w:top w:val="nil"/>
              <w:left w:val="nil"/>
              <w:bottom w:val="single" w:sz="6" w:space="0" w:color="000000"/>
              <w:right w:val="single" w:sz="6" w:space="0" w:color="000000"/>
            </w:tcBorders>
            <w:shd w:val="clear" w:color="auto" w:fill="FFFFFF"/>
            <w:vAlign w:val="bottom"/>
            <w:hideMark/>
          </w:tcPr>
          <w:p w:rsidR="00022EEF" w:rsidRPr="00022EEF" w:rsidRDefault="00022EEF" w:rsidP="00022EEF">
            <w:pPr>
              <w:spacing w:after="100" w:afterAutospacing="1" w:line="240" w:lineRule="auto"/>
              <w:jc w:val="center"/>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xml:space="preserve">1.450. 000 </w:t>
            </w:r>
            <w:proofErr w:type="spellStart"/>
            <w:r w:rsidRPr="00022EEF">
              <w:rPr>
                <w:rFonts w:ascii="Verdana" w:eastAsia="Times New Roman" w:hAnsi="Verdana" w:cs="Segoe UI"/>
                <w:color w:val="040404"/>
                <w:sz w:val="18"/>
                <w:szCs w:val="18"/>
                <w:lang w:eastAsia="fr-FR"/>
              </w:rPr>
              <w:t>Mru</w:t>
            </w:r>
            <w:proofErr w:type="spellEnd"/>
          </w:p>
        </w:tc>
      </w:tr>
    </w:tbl>
    <w:p w:rsidR="00022EEF" w:rsidRPr="00022EEF" w:rsidRDefault="00022EEF" w:rsidP="00022EEF">
      <w:pPr>
        <w:shd w:val="clear" w:color="auto" w:fill="FFFFFF"/>
        <w:spacing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br/>
      </w:r>
    </w:p>
    <w:p w:rsidR="00022EEF" w:rsidRPr="00022EEF" w:rsidRDefault="00022EEF" w:rsidP="00022EEF">
      <w:pPr>
        <w:numPr>
          <w:ilvl w:val="0"/>
          <w:numId w:val="24"/>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Les concurrents devront indiquer eux-mêmes dans leur soumission, le délai dans lequel ils s’engagent à exécuter les travaux. Ce délai ne doit pas dépasser </w:t>
      </w:r>
      <w:r w:rsidRPr="00022EEF">
        <w:rPr>
          <w:rFonts w:ascii="Verdana" w:eastAsia="Times New Roman" w:hAnsi="Verdana" w:cs="Segoe UI"/>
          <w:b/>
          <w:bCs/>
          <w:color w:val="040404"/>
          <w:sz w:val="18"/>
          <w:szCs w:val="18"/>
          <w:lang w:eastAsia="fr-FR"/>
        </w:rPr>
        <w:t>2 mois</w:t>
      </w:r>
      <w:r w:rsidRPr="00022EEF">
        <w:rPr>
          <w:rFonts w:ascii="Verdana" w:eastAsia="Times New Roman" w:hAnsi="Verdana" w:cs="Segoe UI"/>
          <w:color w:val="040404"/>
          <w:sz w:val="18"/>
          <w:szCs w:val="18"/>
          <w:lang w:eastAsia="fr-FR"/>
        </w:rPr>
        <w:t> pour les lots 1 et 8 - </w:t>
      </w:r>
      <w:r w:rsidRPr="00022EEF">
        <w:rPr>
          <w:rFonts w:ascii="Verdana" w:eastAsia="Times New Roman" w:hAnsi="Verdana" w:cs="Segoe UI"/>
          <w:b/>
          <w:bCs/>
          <w:color w:val="040404"/>
          <w:sz w:val="18"/>
          <w:szCs w:val="18"/>
          <w:lang w:eastAsia="fr-FR"/>
        </w:rPr>
        <w:t>5 mois</w:t>
      </w:r>
      <w:r w:rsidRPr="00022EEF">
        <w:rPr>
          <w:rFonts w:ascii="Verdana" w:eastAsia="Times New Roman" w:hAnsi="Verdana" w:cs="Segoe UI"/>
          <w:color w:val="040404"/>
          <w:sz w:val="18"/>
          <w:szCs w:val="18"/>
          <w:lang w:eastAsia="fr-FR"/>
        </w:rPr>
        <w:t> pour les lots 2 et 9, </w:t>
      </w:r>
      <w:r w:rsidRPr="00022EEF">
        <w:rPr>
          <w:rFonts w:ascii="Verdana" w:eastAsia="Times New Roman" w:hAnsi="Verdana" w:cs="Segoe UI"/>
          <w:b/>
          <w:bCs/>
          <w:color w:val="040404"/>
          <w:sz w:val="18"/>
          <w:szCs w:val="18"/>
          <w:lang w:eastAsia="fr-FR"/>
        </w:rPr>
        <w:t>18 mois </w:t>
      </w:r>
      <w:r w:rsidRPr="00022EEF">
        <w:rPr>
          <w:rFonts w:ascii="Verdana" w:eastAsia="Times New Roman" w:hAnsi="Verdana" w:cs="Segoe UI"/>
          <w:color w:val="040404"/>
          <w:sz w:val="18"/>
          <w:szCs w:val="18"/>
          <w:lang w:eastAsia="fr-FR"/>
        </w:rPr>
        <w:t>pour les lots 3, 4, 5, 6 ; 7, 10 et 11. Toute offre proposant un délai supérieur sera rejetée.</w:t>
      </w:r>
    </w:p>
    <w:p w:rsidR="00022EEF" w:rsidRPr="00022EEF" w:rsidRDefault="00022EEF" w:rsidP="00022EEF">
      <w:pPr>
        <w:numPr>
          <w:ilvl w:val="0"/>
          <w:numId w:val="25"/>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Les montants des offres doivent être exprimés en toutes taxes et TVA</w:t>
      </w:r>
    </w:p>
    <w:p w:rsidR="00022EEF" w:rsidRPr="00022EEF" w:rsidRDefault="00022EEF" w:rsidP="00022EEF">
      <w:pPr>
        <w:shd w:val="clear" w:color="auto" w:fill="FFFFFF"/>
        <w:spacing w:after="100" w:afterAutospacing="1" w:line="240" w:lineRule="auto"/>
        <w:ind w:left="930"/>
        <w:jc w:val="both"/>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t>                                                                         </w:t>
      </w:r>
    </w:p>
    <w:p w:rsidR="00022EEF" w:rsidRPr="00022EEF" w:rsidRDefault="00022EEF" w:rsidP="00022EEF">
      <w:pPr>
        <w:shd w:val="clear" w:color="auto" w:fill="FFFFFF"/>
        <w:spacing w:after="100" w:afterAutospacing="1" w:line="240" w:lineRule="auto"/>
        <w:ind w:left="930"/>
        <w:jc w:val="right"/>
        <w:rPr>
          <w:rFonts w:ascii="Segoe UI" w:eastAsia="Times New Roman" w:hAnsi="Segoe UI" w:cs="Segoe UI"/>
          <w:color w:val="040404"/>
          <w:sz w:val="21"/>
          <w:szCs w:val="21"/>
          <w:lang w:eastAsia="fr-FR"/>
        </w:rPr>
      </w:pPr>
      <w:r w:rsidRPr="00022EEF">
        <w:rPr>
          <w:rFonts w:ascii="Verdana" w:eastAsia="Times New Roman" w:hAnsi="Verdana" w:cs="Segoe UI"/>
          <w:color w:val="040404"/>
          <w:sz w:val="18"/>
          <w:szCs w:val="18"/>
          <w:lang w:eastAsia="fr-FR"/>
        </w:rPr>
        <w:lastRenderedPageBreak/>
        <w:t>                                                                                Fait à Nouakchott le, 13/02/2023</w:t>
      </w:r>
    </w:p>
    <w:p w:rsidR="00022EEF" w:rsidRPr="00022EEF" w:rsidRDefault="00022EEF" w:rsidP="00022EEF">
      <w:pPr>
        <w:shd w:val="clear" w:color="auto" w:fill="FFFFFF"/>
        <w:spacing w:after="100" w:afterAutospacing="1" w:line="240" w:lineRule="auto"/>
        <w:jc w:val="right"/>
        <w:rPr>
          <w:rFonts w:ascii="Segoe UI" w:eastAsia="Times New Roman" w:hAnsi="Segoe UI" w:cs="Segoe UI"/>
          <w:color w:val="040404"/>
          <w:sz w:val="21"/>
          <w:szCs w:val="21"/>
          <w:lang w:eastAsia="fr-FR"/>
        </w:rPr>
      </w:pPr>
      <w:r w:rsidRPr="00022EEF">
        <w:rPr>
          <w:rFonts w:ascii="Verdana" w:eastAsia="Times New Roman" w:hAnsi="Verdana" w:cs="Segoe UI"/>
          <w:b/>
          <w:bCs/>
          <w:color w:val="040404"/>
          <w:sz w:val="18"/>
          <w:szCs w:val="18"/>
          <w:lang w:eastAsia="fr-FR"/>
        </w:rPr>
        <w:t>                                                                              Le Secrétaire Général </w:t>
      </w:r>
    </w:p>
    <w:p w:rsidR="00390A55" w:rsidRDefault="00390A55">
      <w:bookmarkStart w:id="0" w:name="_GoBack"/>
      <w:bookmarkEnd w:id="0"/>
    </w:p>
    <w:sectPr w:rsidR="00390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4914"/>
    <w:multiLevelType w:val="multilevel"/>
    <w:tmpl w:val="77687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858CD"/>
    <w:multiLevelType w:val="multilevel"/>
    <w:tmpl w:val="CE04F6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F72A8"/>
    <w:multiLevelType w:val="multilevel"/>
    <w:tmpl w:val="DC822B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24199"/>
    <w:multiLevelType w:val="multilevel"/>
    <w:tmpl w:val="BEB0E9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33C62"/>
    <w:multiLevelType w:val="multilevel"/>
    <w:tmpl w:val="0B7CD11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480ED4"/>
    <w:multiLevelType w:val="multilevel"/>
    <w:tmpl w:val="04A6B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AF071C"/>
    <w:multiLevelType w:val="multilevel"/>
    <w:tmpl w:val="F7A8B1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723C83"/>
    <w:multiLevelType w:val="multilevel"/>
    <w:tmpl w:val="3E7C64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F6760A"/>
    <w:multiLevelType w:val="multilevel"/>
    <w:tmpl w:val="811A1F7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heme="majorBidi" w:hAnsiTheme="majorBidi" w:cstheme="majorBidi" w:hint="default"/>
        <w:b/>
        <w:bCs/>
        <w:sz w:val="32"/>
        <w:szCs w:val="32"/>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CDF44FB"/>
    <w:multiLevelType w:val="multilevel"/>
    <w:tmpl w:val="439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021041"/>
    <w:multiLevelType w:val="multilevel"/>
    <w:tmpl w:val="66182F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182A75"/>
    <w:multiLevelType w:val="multilevel"/>
    <w:tmpl w:val="F66425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E80C80"/>
    <w:multiLevelType w:val="multilevel"/>
    <w:tmpl w:val="878477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1D36BC"/>
    <w:multiLevelType w:val="multilevel"/>
    <w:tmpl w:val="0A4A20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FB6961"/>
    <w:multiLevelType w:val="multilevel"/>
    <w:tmpl w:val="D2C208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i w:val="0"/>
        <w:iCs/>
      </w:rPr>
    </w:lvl>
    <w:lvl w:ilvl="3">
      <w:start w:val="1"/>
      <w:numFmt w:val="decimal"/>
      <w:lvlText w:val="%1.%2.%3.%4"/>
      <w:lvlJc w:val="left"/>
      <w:pPr>
        <w:ind w:left="864" w:hanging="864"/>
      </w:pPr>
      <w:rPr>
        <w:b/>
        <w:bCs/>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3C55797"/>
    <w:multiLevelType w:val="multilevel"/>
    <w:tmpl w:val="2AA43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6A1073"/>
    <w:multiLevelType w:val="multilevel"/>
    <w:tmpl w:val="693483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496080"/>
    <w:multiLevelType w:val="multilevel"/>
    <w:tmpl w:val="BB52EF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E71418"/>
    <w:multiLevelType w:val="multilevel"/>
    <w:tmpl w:val="45AAE0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FC69CC"/>
    <w:multiLevelType w:val="multilevel"/>
    <w:tmpl w:val="0FFC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4"/>
  </w:num>
  <w:num w:numId="3">
    <w:abstractNumId w:val="14"/>
  </w:num>
  <w:num w:numId="4">
    <w:abstractNumId w:val="8"/>
  </w:num>
  <w:num w:numId="5">
    <w:abstractNumId w:val="14"/>
  </w:num>
  <w:num w:numId="6">
    <w:abstractNumId w:val="14"/>
  </w:num>
  <w:num w:numId="7">
    <w:abstractNumId w:val="4"/>
  </w:num>
  <w:num w:numId="8">
    <w:abstractNumId w:val="8"/>
  </w:num>
  <w:num w:numId="9">
    <w:abstractNumId w:val="19"/>
  </w:num>
  <w:num w:numId="10">
    <w:abstractNumId w:val="0"/>
  </w:num>
  <w:num w:numId="11">
    <w:abstractNumId w:val="5"/>
  </w:num>
  <w:num w:numId="12">
    <w:abstractNumId w:val="3"/>
  </w:num>
  <w:num w:numId="13">
    <w:abstractNumId w:val="16"/>
  </w:num>
  <w:num w:numId="14">
    <w:abstractNumId w:val="2"/>
  </w:num>
  <w:num w:numId="15">
    <w:abstractNumId w:val="6"/>
  </w:num>
  <w:num w:numId="16">
    <w:abstractNumId w:val="9"/>
  </w:num>
  <w:num w:numId="17">
    <w:abstractNumId w:val="18"/>
  </w:num>
  <w:num w:numId="18">
    <w:abstractNumId w:val="13"/>
  </w:num>
  <w:num w:numId="19">
    <w:abstractNumId w:val="10"/>
  </w:num>
  <w:num w:numId="20">
    <w:abstractNumId w:val="15"/>
  </w:num>
  <w:num w:numId="21">
    <w:abstractNumId w:val="7"/>
  </w:num>
  <w:num w:numId="22">
    <w:abstractNumId w:val="1"/>
  </w:num>
  <w:num w:numId="23">
    <w:abstractNumId w:val="12"/>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78"/>
    <w:rsid w:val="00022EEF"/>
    <w:rsid w:val="00093A78"/>
    <w:rsid w:val="00390A55"/>
    <w:rsid w:val="004257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CDF53-CE3B-4A84-B39D-DA407938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4E"/>
    <w:pPr>
      <w:spacing w:after="0" w:line="480" w:lineRule="auto"/>
    </w:pPr>
    <w:rPr>
      <w:rFonts w:asciiTheme="majorBidi" w:hAnsiTheme="majorBidi"/>
      <w:sz w:val="24"/>
    </w:rPr>
  </w:style>
  <w:style w:type="paragraph" w:styleId="Titre1">
    <w:name w:val="heading 1"/>
    <w:basedOn w:val="Normal"/>
    <w:next w:val="Normal"/>
    <w:link w:val="Titre1Car"/>
    <w:autoRedefine/>
    <w:uiPriority w:val="9"/>
    <w:qFormat/>
    <w:rsid w:val="0042574E"/>
    <w:pPr>
      <w:keepNext/>
      <w:keepLines/>
      <w:tabs>
        <w:tab w:val="left" w:pos="0"/>
      </w:tabs>
      <w:spacing w:before="240" w:line="240" w:lineRule="auto"/>
      <w:ind w:left="432"/>
      <w:outlineLvl w:val="0"/>
    </w:pPr>
    <w:rPr>
      <w:rFonts w:ascii="Garamond" w:eastAsiaTheme="majorEastAsia" w:hAnsi="Garamond" w:cstheme="majorBidi"/>
      <w:b/>
      <w:color w:val="000000" w:themeColor="text1"/>
      <w:sz w:val="48"/>
      <w:szCs w:val="24"/>
    </w:rPr>
  </w:style>
  <w:style w:type="paragraph" w:styleId="Titre2">
    <w:name w:val="heading 2"/>
    <w:basedOn w:val="Normal"/>
    <w:next w:val="Normal"/>
    <w:link w:val="Titre2Car"/>
    <w:autoRedefine/>
    <w:uiPriority w:val="9"/>
    <w:unhideWhenUsed/>
    <w:qFormat/>
    <w:rsid w:val="0042574E"/>
    <w:pPr>
      <w:widowControl w:val="0"/>
      <w:tabs>
        <w:tab w:val="left" w:pos="1399"/>
        <w:tab w:val="left" w:pos="1400"/>
      </w:tabs>
      <w:autoSpaceDE w:val="0"/>
      <w:autoSpaceDN w:val="0"/>
      <w:spacing w:before="240" w:line="240" w:lineRule="auto"/>
      <w:ind w:left="567" w:right="1842"/>
      <w:jc w:val="both"/>
      <w:outlineLvl w:val="1"/>
    </w:pPr>
    <w:rPr>
      <w:rFonts w:eastAsiaTheme="majorEastAsia" w:cstheme="majorBidi"/>
      <w:b/>
      <w:bCs/>
      <w:sz w:val="32"/>
      <w:szCs w:val="24"/>
    </w:rPr>
  </w:style>
  <w:style w:type="paragraph" w:styleId="Titre3">
    <w:name w:val="heading 3"/>
    <w:basedOn w:val="Normal"/>
    <w:next w:val="Normal"/>
    <w:link w:val="Titre3Car"/>
    <w:autoRedefine/>
    <w:uiPriority w:val="9"/>
    <w:unhideWhenUsed/>
    <w:qFormat/>
    <w:rsid w:val="0042574E"/>
    <w:pPr>
      <w:widowControl w:val="0"/>
      <w:tabs>
        <w:tab w:val="left" w:pos="1760"/>
      </w:tabs>
      <w:autoSpaceDE w:val="0"/>
      <w:autoSpaceDN w:val="0"/>
      <w:spacing w:before="243" w:line="360" w:lineRule="auto"/>
      <w:ind w:right="1842"/>
      <w:jc w:val="both"/>
      <w:outlineLvl w:val="2"/>
    </w:pPr>
    <w:rPr>
      <w:rFonts w:eastAsiaTheme="majorEastAsia" w:cstheme="majorBidi"/>
      <w:b/>
      <w:bCs/>
      <w:sz w:val="28"/>
      <w:szCs w:val="36"/>
    </w:rPr>
  </w:style>
  <w:style w:type="paragraph" w:styleId="Titre4">
    <w:name w:val="heading 4"/>
    <w:basedOn w:val="Normal"/>
    <w:next w:val="Normal"/>
    <w:link w:val="Titre4Car"/>
    <w:autoRedefine/>
    <w:uiPriority w:val="9"/>
    <w:unhideWhenUsed/>
    <w:qFormat/>
    <w:rsid w:val="0042574E"/>
    <w:pPr>
      <w:keepNext/>
      <w:keepLines/>
      <w:spacing w:before="40" w:line="276" w:lineRule="auto"/>
      <w:ind w:left="1440"/>
      <w:outlineLvl w:val="3"/>
    </w:pPr>
    <w:rPr>
      <w:rFonts w:ascii="Garamond" w:eastAsiaTheme="majorEastAsia" w:hAnsi="Garamond" w:cstheme="majorBidi"/>
      <w:b/>
      <w:iCs/>
      <w:color w:val="000000" w:themeColor="text1"/>
      <w:sz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2574E"/>
    <w:rPr>
      <w:rFonts w:asciiTheme="majorBidi" w:eastAsiaTheme="majorEastAsia" w:hAnsiTheme="majorBidi" w:cstheme="majorBidi"/>
      <w:b/>
      <w:bCs/>
      <w:sz w:val="28"/>
      <w:szCs w:val="36"/>
    </w:rPr>
  </w:style>
  <w:style w:type="character" w:customStyle="1" w:styleId="Titre4Car">
    <w:name w:val="Titre 4 Car"/>
    <w:basedOn w:val="Policepardfaut"/>
    <w:link w:val="Titre4"/>
    <w:uiPriority w:val="9"/>
    <w:rsid w:val="0042574E"/>
    <w:rPr>
      <w:rFonts w:ascii="Garamond" w:eastAsiaTheme="majorEastAsia" w:hAnsi="Garamond" w:cstheme="majorBidi"/>
      <w:b/>
      <w:iCs/>
      <w:color w:val="000000" w:themeColor="text1"/>
      <w:sz w:val="28"/>
      <w:lang w:val="en-US"/>
    </w:rPr>
  </w:style>
  <w:style w:type="character" w:customStyle="1" w:styleId="Titre1Car">
    <w:name w:val="Titre 1 Car"/>
    <w:basedOn w:val="Policepardfaut"/>
    <w:link w:val="Titre1"/>
    <w:uiPriority w:val="9"/>
    <w:rsid w:val="0042574E"/>
    <w:rPr>
      <w:rFonts w:ascii="Garamond" w:eastAsiaTheme="majorEastAsia" w:hAnsi="Garamond" w:cstheme="majorBidi"/>
      <w:b/>
      <w:color w:val="000000" w:themeColor="text1"/>
      <w:sz w:val="48"/>
      <w:szCs w:val="24"/>
    </w:rPr>
  </w:style>
  <w:style w:type="character" w:customStyle="1" w:styleId="Titre2Car">
    <w:name w:val="Titre 2 Car"/>
    <w:basedOn w:val="Policepardfaut"/>
    <w:link w:val="Titre2"/>
    <w:uiPriority w:val="9"/>
    <w:rsid w:val="0042574E"/>
    <w:rPr>
      <w:rFonts w:asciiTheme="majorBidi" w:eastAsiaTheme="majorEastAsia" w:hAnsiTheme="majorBidi" w:cstheme="majorBidi"/>
      <w:b/>
      <w:bCs/>
      <w:sz w:val="32"/>
      <w:szCs w:val="24"/>
    </w:rPr>
  </w:style>
  <w:style w:type="paragraph" w:styleId="NormalWeb">
    <w:name w:val="Normal (Web)"/>
    <w:basedOn w:val="Normal"/>
    <w:uiPriority w:val="99"/>
    <w:semiHidden/>
    <w:unhideWhenUsed/>
    <w:rsid w:val="00022EEF"/>
    <w:pPr>
      <w:spacing w:before="100" w:beforeAutospacing="1" w:after="100" w:afterAutospacing="1" w:line="240" w:lineRule="auto"/>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022EEF"/>
    <w:rPr>
      <w:i/>
      <w:iCs/>
    </w:rPr>
  </w:style>
  <w:style w:type="character" w:styleId="lev">
    <w:name w:val="Strong"/>
    <w:basedOn w:val="Policepardfaut"/>
    <w:uiPriority w:val="22"/>
    <w:qFormat/>
    <w:rsid w:val="00022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6650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2023-02-13T21:36:00Z</dcterms:created>
  <dcterms:modified xsi:type="dcterms:W3CDTF">2023-02-13T21:37:00Z</dcterms:modified>
</cp:coreProperties>
</file>