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28B10" w14:textId="14493259" w:rsidR="00C81B2E" w:rsidRDefault="007E4535" w:rsidP="00D834A1">
      <w:pPr>
        <w:pStyle w:val="Titre1"/>
        <w:numPr>
          <w:ilvl w:val="0"/>
          <w:numId w:val="0"/>
        </w:numPr>
        <w:spacing w:before="1800" w:after="800"/>
        <w:ind w:left="2124"/>
        <w:jc w:val="both"/>
      </w:pPr>
      <w:bookmarkStart w:id="0" w:name="_GoBack"/>
      <w:bookmarkEnd w:id="0"/>
      <w:r>
        <w:t xml:space="preserve">TDR </w:t>
      </w:r>
      <w:r w:rsidR="00C81B2E">
        <w:t xml:space="preserve">de </w:t>
      </w:r>
      <w:r w:rsidR="003F07C4">
        <w:t>LA</w:t>
      </w:r>
      <w:r w:rsidR="00C81B2E">
        <w:t xml:space="preserve"> </w:t>
      </w:r>
      <w:r w:rsidR="00D834A1">
        <w:t>FORMATION</w:t>
      </w:r>
      <w:r w:rsidR="00C81B2E">
        <w:t xml:space="preserve"> </w:t>
      </w:r>
      <w:r w:rsidR="003F07C4">
        <w:t>fidic</w:t>
      </w:r>
      <w:r w:rsidR="0085104D">
        <w:t xml:space="preserve"> rouge</w:t>
      </w:r>
    </w:p>
    <w:p w14:paraId="28DD9C1C" w14:textId="73C84887" w:rsidR="00C81B2E" w:rsidRDefault="00C81B2E" w:rsidP="00D834A1">
      <w:pPr>
        <w:pStyle w:val="Titre2"/>
        <w:numPr>
          <w:ilvl w:val="0"/>
          <w:numId w:val="9"/>
        </w:numPr>
      </w:pPr>
      <w:bookmarkStart w:id="1" w:name="_Hlk139560357"/>
      <w:r>
        <w:t>Objectifs de la Formation</w:t>
      </w:r>
    </w:p>
    <w:bookmarkEnd w:id="1"/>
    <w:p w14:paraId="58BAB9F5" w14:textId="77777777" w:rsidR="00C81B2E" w:rsidRDefault="00C81B2E" w:rsidP="00C81B2E">
      <w:pPr>
        <w:ind w:left="0"/>
      </w:pPr>
      <w:r>
        <w:t xml:space="preserve">Les objectifs de la formation sont les suivants : </w:t>
      </w:r>
    </w:p>
    <w:p w14:paraId="0E7CD967" w14:textId="77777777" w:rsidR="00C81B2E" w:rsidRDefault="00C81B2E" w:rsidP="00C81B2E">
      <w:pPr>
        <w:pStyle w:val="Paragraphedeliste"/>
        <w:numPr>
          <w:ilvl w:val="0"/>
          <w:numId w:val="5"/>
        </w:numPr>
        <w:autoSpaceDE w:val="0"/>
        <w:autoSpaceDN w:val="0"/>
        <w:adjustRightInd w:val="0"/>
        <w:spacing w:before="60" w:after="60"/>
      </w:pPr>
      <w:r w:rsidRPr="004F5D00">
        <w:t>Fournir aux participants</w:t>
      </w:r>
      <w:r>
        <w:t xml:space="preserve"> les connaissances sur les différentes typologies de contrat FIDIC, les procédures de passation des marchés et la stratégie contractuelle nécessaires pour maitriser les procédures de préparation et d’exécution des contrats FIDIC ;</w:t>
      </w:r>
    </w:p>
    <w:p w14:paraId="66ACFF62" w14:textId="77777777" w:rsidR="00C81B2E" w:rsidRDefault="00C81B2E" w:rsidP="00C81B2E">
      <w:pPr>
        <w:pStyle w:val="Paragraphedeliste"/>
        <w:numPr>
          <w:ilvl w:val="0"/>
          <w:numId w:val="5"/>
        </w:numPr>
        <w:autoSpaceDE w:val="0"/>
        <w:autoSpaceDN w:val="0"/>
        <w:adjustRightInd w:val="0"/>
        <w:spacing w:before="60" w:after="60"/>
      </w:pPr>
      <w:r w:rsidRPr="00046AF1">
        <w:t>Fournir aux participants</w:t>
      </w:r>
      <w:r>
        <w:t xml:space="preserve"> (</w:t>
      </w:r>
      <w:r w:rsidRPr="00046AF1">
        <w:t>Maîtres d’Ouvrages, Maîtres d’œuvre</w:t>
      </w:r>
      <w:r>
        <w:t xml:space="preserve">, </w:t>
      </w:r>
      <w:r w:rsidRPr="00046AF1">
        <w:t>Entrepreneurs</w:t>
      </w:r>
      <w:r>
        <w:t>)</w:t>
      </w:r>
      <w:r w:rsidRPr="00046AF1">
        <w:t xml:space="preserve">, les connaissances </w:t>
      </w:r>
      <w:r>
        <w:t xml:space="preserve">sur les spécificités </w:t>
      </w:r>
      <w:r w:rsidRPr="00CF65E3">
        <w:t>de contrats de type FIDIC</w:t>
      </w:r>
      <w:r>
        <w:t xml:space="preserve"> Rouge </w:t>
      </w:r>
      <w:r w:rsidRPr="00046AF1">
        <w:t xml:space="preserve">pour </w:t>
      </w:r>
      <w:r>
        <w:t xml:space="preserve">qu’ils puissent s’en approprier et puissent </w:t>
      </w:r>
      <w:r w:rsidRPr="00046AF1">
        <w:t xml:space="preserve">utiliser </w:t>
      </w:r>
      <w:r>
        <w:t xml:space="preserve">aisément ces </w:t>
      </w:r>
      <w:r w:rsidRPr="00046AF1">
        <w:t>modèles de contrat</w:t>
      </w:r>
      <w:r>
        <w:t> ;</w:t>
      </w:r>
    </w:p>
    <w:p w14:paraId="15CE50EF" w14:textId="77777777" w:rsidR="00C81B2E" w:rsidRDefault="00C81B2E" w:rsidP="00C81B2E">
      <w:pPr>
        <w:pStyle w:val="Paragraphedeliste"/>
        <w:numPr>
          <w:ilvl w:val="0"/>
          <w:numId w:val="5"/>
        </w:numPr>
        <w:autoSpaceDE w:val="0"/>
        <w:autoSpaceDN w:val="0"/>
        <w:adjustRightInd w:val="0"/>
        <w:spacing w:before="60" w:after="60"/>
      </w:pPr>
      <w:r w:rsidRPr="00CF07A6">
        <w:t xml:space="preserve">Fournir aux participants </w:t>
      </w:r>
      <w:r>
        <w:t>la c</w:t>
      </w:r>
      <w:r w:rsidRPr="003D003F">
        <w:t>onnai</w:t>
      </w:r>
      <w:r>
        <w:t>ssance</w:t>
      </w:r>
      <w:r w:rsidRPr="003D003F">
        <w:t xml:space="preserve"> </w:t>
      </w:r>
      <w:r>
        <w:t>d</w:t>
      </w:r>
      <w:r w:rsidRPr="003D003F">
        <w:t>es rôles et responsabilités, ainsi que les risques alloués aux Parties dans les contrats de construction FIDIC Rouge</w:t>
      </w:r>
      <w:r>
        <w:t> ;</w:t>
      </w:r>
    </w:p>
    <w:p w14:paraId="50C74F59" w14:textId="61BBABFC" w:rsidR="00C81B2E" w:rsidRDefault="00C81B2E" w:rsidP="00070140">
      <w:pPr>
        <w:pStyle w:val="Paragraphedeliste"/>
        <w:numPr>
          <w:ilvl w:val="0"/>
          <w:numId w:val="5"/>
        </w:numPr>
        <w:autoSpaceDE w:val="0"/>
        <w:autoSpaceDN w:val="0"/>
        <w:adjustRightInd w:val="0"/>
        <w:spacing w:before="60" w:after="60"/>
      </w:pPr>
      <w:r w:rsidRPr="003D003F">
        <w:t>Développer les compétences des participants, et à leur faire acquérir les bonnes pratiques, en matière de gestion des réclamations et de règlement des litiges dans le cadre des Conditions de Contrat FIDIC</w:t>
      </w:r>
      <w:r>
        <w:t>.</w:t>
      </w:r>
    </w:p>
    <w:p w14:paraId="093BF48F" w14:textId="0735609B" w:rsidR="00C81B2E" w:rsidRDefault="00C81B2E" w:rsidP="00D834A1">
      <w:pPr>
        <w:pStyle w:val="Titre2"/>
        <w:numPr>
          <w:ilvl w:val="0"/>
          <w:numId w:val="9"/>
        </w:numPr>
      </w:pPr>
      <w:r>
        <w:t>Structures à rencontrer</w:t>
      </w:r>
    </w:p>
    <w:p w14:paraId="5C21C2A7" w14:textId="77777777" w:rsidR="00C81B2E" w:rsidRPr="004A4734" w:rsidRDefault="00C81B2E" w:rsidP="00C81B2E">
      <w:pPr>
        <w:spacing w:after="0"/>
        <w:ind w:left="0"/>
        <w:rPr>
          <w:bCs/>
        </w:rPr>
      </w:pPr>
      <w:r>
        <w:rPr>
          <w:bCs/>
        </w:rPr>
        <w:t>Les</w:t>
      </w:r>
      <w:r w:rsidRPr="004A4734">
        <w:t xml:space="preserve"> </w:t>
      </w:r>
      <w:r w:rsidRPr="004A4734">
        <w:rPr>
          <w:bCs/>
        </w:rPr>
        <w:t xml:space="preserve">départements ministériels sectoriels et autres structures décentralisées concernés par la </w:t>
      </w:r>
      <w:r>
        <w:rPr>
          <w:bCs/>
        </w:rPr>
        <w:t xml:space="preserve">formation </w:t>
      </w:r>
      <w:r w:rsidRPr="004A4734">
        <w:rPr>
          <w:bCs/>
        </w:rPr>
        <w:t>seront sollicités pour avis et suggestions et participeront a</w:t>
      </w:r>
      <w:r>
        <w:rPr>
          <w:bCs/>
        </w:rPr>
        <w:t xml:space="preserve">vec l’UCP à la définition des thématiques à aborder dans les modules de la formation. </w:t>
      </w:r>
    </w:p>
    <w:p w14:paraId="16355D0F" w14:textId="77777777" w:rsidR="00C81B2E" w:rsidRPr="004A4734" w:rsidRDefault="00C81B2E" w:rsidP="00C81B2E">
      <w:pPr>
        <w:spacing w:after="0"/>
        <w:ind w:left="0"/>
        <w:rPr>
          <w:bCs/>
        </w:rPr>
      </w:pPr>
      <w:r w:rsidRPr="004A4734">
        <w:rPr>
          <w:bCs/>
        </w:rPr>
        <w:t>La liste, non exhaustive, de structures à rencontrer est la suivante :</w:t>
      </w:r>
    </w:p>
    <w:p w14:paraId="183FBA81" w14:textId="77777777" w:rsidR="00C81B2E" w:rsidRDefault="00C81B2E" w:rsidP="00C81B2E">
      <w:pPr>
        <w:pStyle w:val="Paragraphedeliste"/>
        <w:numPr>
          <w:ilvl w:val="0"/>
          <w:numId w:val="0"/>
        </w:numPr>
        <w:spacing w:after="0"/>
        <w:ind w:left="720"/>
        <w:rPr>
          <w:bCs/>
        </w:rPr>
      </w:pPr>
    </w:p>
    <w:p w14:paraId="5FE2A73A" w14:textId="77777777" w:rsidR="00C81B2E" w:rsidRPr="006526D2" w:rsidRDefault="00C81B2E" w:rsidP="00C81B2E">
      <w:pPr>
        <w:pStyle w:val="Paragraphedeliste"/>
        <w:numPr>
          <w:ilvl w:val="0"/>
          <w:numId w:val="8"/>
        </w:numPr>
        <w:spacing w:after="0"/>
        <w:ind w:left="709" w:hanging="283"/>
        <w:rPr>
          <w:bCs/>
        </w:rPr>
      </w:pPr>
      <w:r w:rsidRPr="006526D2">
        <w:rPr>
          <w:bCs/>
        </w:rPr>
        <w:t>UCP : L’Unité de Coordination du Projet</w:t>
      </w:r>
    </w:p>
    <w:p w14:paraId="15363709" w14:textId="77777777" w:rsidR="00C81B2E" w:rsidRPr="006526D2" w:rsidRDefault="00C81B2E" w:rsidP="00C81B2E">
      <w:pPr>
        <w:pStyle w:val="Paragraphedeliste"/>
        <w:numPr>
          <w:ilvl w:val="0"/>
          <w:numId w:val="4"/>
        </w:numPr>
        <w:spacing w:before="0" w:after="0"/>
        <w:ind w:hanging="283"/>
        <w:rPr>
          <w:bCs/>
        </w:rPr>
      </w:pPr>
      <w:r w:rsidRPr="006526D2">
        <w:rPr>
          <w:bCs/>
        </w:rPr>
        <w:t>M</w:t>
      </w:r>
      <w:r>
        <w:rPr>
          <w:bCs/>
        </w:rPr>
        <w:t>H</w:t>
      </w:r>
      <w:r w:rsidRPr="006526D2">
        <w:rPr>
          <w:bCs/>
        </w:rPr>
        <w:t>A : Directions Centrales (DH, DA, DPCS, DCSP, DCQE)</w:t>
      </w:r>
    </w:p>
    <w:p w14:paraId="5BEA1B60" w14:textId="77777777" w:rsidR="00C81B2E" w:rsidRPr="006526D2" w:rsidRDefault="00C81B2E" w:rsidP="00C81B2E">
      <w:pPr>
        <w:pStyle w:val="Paragraphedeliste"/>
        <w:numPr>
          <w:ilvl w:val="0"/>
          <w:numId w:val="4"/>
        </w:numPr>
        <w:spacing w:before="0" w:after="0"/>
        <w:ind w:hanging="283"/>
        <w:rPr>
          <w:bCs/>
        </w:rPr>
      </w:pPr>
      <w:r w:rsidRPr="006526D2">
        <w:rPr>
          <w:bCs/>
        </w:rPr>
        <w:t>M</w:t>
      </w:r>
      <w:r>
        <w:rPr>
          <w:bCs/>
        </w:rPr>
        <w:t>HA</w:t>
      </w:r>
      <w:r w:rsidRPr="006526D2">
        <w:rPr>
          <w:bCs/>
        </w:rPr>
        <w:t> : Structures sous tutelle (SNDE, ONSER, CNRE, ONAS, SNFP)</w:t>
      </w:r>
    </w:p>
    <w:p w14:paraId="2E53AF75" w14:textId="7066C16B" w:rsidR="00C81B2E" w:rsidRPr="008E369F" w:rsidRDefault="00C81B2E" w:rsidP="008E369F">
      <w:pPr>
        <w:pStyle w:val="Paragraphedeliste"/>
        <w:numPr>
          <w:ilvl w:val="0"/>
          <w:numId w:val="4"/>
        </w:numPr>
        <w:spacing w:before="0"/>
        <w:ind w:hanging="283"/>
        <w:rPr>
          <w:bCs/>
        </w:rPr>
      </w:pPr>
      <w:r w:rsidRPr="005453BD">
        <w:rPr>
          <w:bCs/>
        </w:rPr>
        <w:t xml:space="preserve">Les </w:t>
      </w:r>
      <w:r>
        <w:rPr>
          <w:bCs/>
        </w:rPr>
        <w:t>maitres d’œuvre en charge des études techniques et du suivi des travaux des composantes 1 et 2 du PSEA</w:t>
      </w:r>
    </w:p>
    <w:p w14:paraId="5B7EE54F" w14:textId="68EEF6ED" w:rsidR="00C81B2E" w:rsidRPr="006526D2" w:rsidRDefault="00C81B2E" w:rsidP="00D834A1">
      <w:pPr>
        <w:pStyle w:val="Titre2"/>
        <w:numPr>
          <w:ilvl w:val="0"/>
          <w:numId w:val="9"/>
        </w:numPr>
      </w:pPr>
      <w:r>
        <w:t>Thèmes et contenu de la Formation</w:t>
      </w:r>
    </w:p>
    <w:p w14:paraId="2E2FDE51" w14:textId="77777777" w:rsidR="00C81B2E" w:rsidRDefault="00C81B2E" w:rsidP="00C81B2E">
      <w:pPr>
        <w:ind w:left="0"/>
        <w:rPr>
          <w:rFonts w:cs="Arial"/>
        </w:rPr>
      </w:pPr>
      <w:r w:rsidRPr="004A6795">
        <w:rPr>
          <w:rFonts w:cs="Arial"/>
        </w:rPr>
        <w:t xml:space="preserve">Le </w:t>
      </w:r>
      <w:r>
        <w:rPr>
          <w:rFonts w:cs="Arial"/>
        </w:rPr>
        <w:t>Consultant dispensera la formation en une session unique organisée en modules différentes</w:t>
      </w:r>
      <w:r w:rsidRPr="004A6795">
        <w:t xml:space="preserve"> </w:t>
      </w:r>
      <w:r w:rsidRPr="004A6795">
        <w:rPr>
          <w:rFonts w:cs="Arial"/>
        </w:rPr>
        <w:t>à proposer par le consultant à la</w:t>
      </w:r>
      <w:r>
        <w:rPr>
          <w:rFonts w:cs="Arial"/>
        </w:rPr>
        <w:t xml:space="preserve"> </w:t>
      </w:r>
      <w:r w:rsidRPr="004A6795">
        <w:rPr>
          <w:rFonts w:cs="Arial"/>
        </w:rPr>
        <w:t xml:space="preserve">satisfaction de </w:t>
      </w:r>
      <w:r>
        <w:rPr>
          <w:rFonts w:cs="Arial"/>
        </w:rPr>
        <w:t>l’UCP</w:t>
      </w:r>
      <w:r w:rsidRPr="004A6795">
        <w:rPr>
          <w:rFonts w:cs="Arial"/>
        </w:rPr>
        <w:t xml:space="preserve">. </w:t>
      </w:r>
      <w:r>
        <w:rPr>
          <w:rFonts w:cs="Arial"/>
        </w:rPr>
        <w:t xml:space="preserve">Chaque module </w:t>
      </w:r>
      <w:r w:rsidRPr="007B02A3">
        <w:rPr>
          <w:rFonts w:cs="Arial"/>
        </w:rPr>
        <w:t xml:space="preserve">de formation </w:t>
      </w:r>
      <w:r>
        <w:rPr>
          <w:rFonts w:cs="Arial"/>
        </w:rPr>
        <w:t xml:space="preserve">sera présenté sur une durée d’une journée </w:t>
      </w:r>
      <w:r w:rsidRPr="007B02A3">
        <w:rPr>
          <w:rFonts w:cs="Arial"/>
        </w:rPr>
        <w:t>pour un maximum de 7 heures par jour</w:t>
      </w:r>
      <w:r>
        <w:rPr>
          <w:rFonts w:cs="Arial"/>
        </w:rPr>
        <w:t xml:space="preserve">. </w:t>
      </w:r>
    </w:p>
    <w:p w14:paraId="7D70A25D" w14:textId="77777777" w:rsidR="00C81B2E" w:rsidRDefault="00C81B2E" w:rsidP="00C81B2E">
      <w:pPr>
        <w:ind w:left="0"/>
        <w:rPr>
          <w:rFonts w:cs="Arial"/>
        </w:rPr>
      </w:pPr>
      <w:r>
        <w:rPr>
          <w:rFonts w:cs="Arial"/>
        </w:rPr>
        <w:t xml:space="preserve">La présentation des thématiques proposées dans chaque module doit s’appuyer </w:t>
      </w:r>
      <w:r w:rsidRPr="007B02A3">
        <w:rPr>
          <w:rFonts w:cs="Arial"/>
        </w:rPr>
        <w:t>sur les documents</w:t>
      </w:r>
      <w:r>
        <w:rPr>
          <w:rFonts w:cs="Arial"/>
        </w:rPr>
        <w:t xml:space="preserve"> </w:t>
      </w:r>
      <w:r w:rsidRPr="007B02A3">
        <w:rPr>
          <w:rFonts w:cs="Arial"/>
        </w:rPr>
        <w:t xml:space="preserve">d’appel d’offres standard </w:t>
      </w:r>
      <w:r>
        <w:rPr>
          <w:rFonts w:cs="Arial"/>
        </w:rPr>
        <w:t xml:space="preserve">du PSEA et doit tenir compte de ses </w:t>
      </w:r>
      <w:r w:rsidRPr="004A6795">
        <w:rPr>
          <w:rFonts w:cs="Arial"/>
        </w:rPr>
        <w:t>particularités</w:t>
      </w:r>
      <w:r>
        <w:rPr>
          <w:rFonts w:cs="Arial"/>
        </w:rPr>
        <w:t>.</w:t>
      </w:r>
    </w:p>
    <w:p w14:paraId="6511BAED" w14:textId="77777777" w:rsidR="00C81B2E" w:rsidRDefault="00C81B2E" w:rsidP="00C81B2E">
      <w:pPr>
        <w:ind w:left="0"/>
        <w:rPr>
          <w:rFonts w:cs="Arial"/>
        </w:rPr>
      </w:pPr>
      <w:r w:rsidRPr="004A6795">
        <w:rPr>
          <w:rFonts w:cs="Arial"/>
        </w:rPr>
        <w:lastRenderedPageBreak/>
        <w:t>Les thèmes de formation peuvent inclure, sans s'y limiter</w:t>
      </w:r>
      <w:r>
        <w:rPr>
          <w:rFonts w:cs="Arial"/>
        </w:rPr>
        <w:t>, les aspects suivants</w:t>
      </w:r>
      <w:r w:rsidRPr="004A6795">
        <w:rPr>
          <w:rFonts w:cs="Arial"/>
        </w:rPr>
        <w:t xml:space="preserve"> :</w:t>
      </w:r>
    </w:p>
    <w:p w14:paraId="743CFAB9" w14:textId="77777777" w:rsidR="00C81B2E" w:rsidRPr="00BB1650" w:rsidRDefault="00C81B2E" w:rsidP="00C81B2E">
      <w:pPr>
        <w:ind w:left="0"/>
        <w:rPr>
          <w:rFonts w:cs="Arial"/>
          <w:u w:val="single"/>
        </w:rPr>
      </w:pPr>
      <w:r w:rsidRPr="00BB1650">
        <w:rPr>
          <w:rFonts w:cs="Arial"/>
          <w:u w:val="single"/>
        </w:rPr>
        <w:t>Préparation des contrats FIDIC</w:t>
      </w:r>
    </w:p>
    <w:p w14:paraId="626B893C" w14:textId="77777777" w:rsidR="00C81B2E" w:rsidRPr="00BB1650" w:rsidRDefault="00C81B2E" w:rsidP="00C81B2E">
      <w:pPr>
        <w:pStyle w:val="Paragraphedeliste"/>
        <w:numPr>
          <w:ilvl w:val="0"/>
          <w:numId w:val="5"/>
        </w:numPr>
        <w:rPr>
          <w:rFonts w:cs="Arial"/>
        </w:rPr>
      </w:pPr>
      <w:r w:rsidRPr="00BB1650">
        <w:rPr>
          <w:rFonts w:cs="Arial"/>
        </w:rPr>
        <w:t>Introduction aux contrats FIDIC.</w:t>
      </w:r>
    </w:p>
    <w:p w14:paraId="527CB0B7" w14:textId="77777777" w:rsidR="00C81B2E" w:rsidRPr="00BB1650" w:rsidRDefault="00C81B2E" w:rsidP="00C81B2E">
      <w:pPr>
        <w:pStyle w:val="Paragraphedeliste"/>
        <w:numPr>
          <w:ilvl w:val="0"/>
          <w:numId w:val="5"/>
        </w:numPr>
        <w:rPr>
          <w:rFonts w:cs="Arial"/>
        </w:rPr>
      </w:pPr>
      <w:r w:rsidRPr="00BB1650">
        <w:rPr>
          <w:rFonts w:cs="Arial"/>
        </w:rPr>
        <w:t>Les concepts clés de la passation</w:t>
      </w:r>
      <w:r>
        <w:rPr>
          <w:rFonts w:cs="Arial"/>
        </w:rPr>
        <w:t xml:space="preserve"> </w:t>
      </w:r>
      <w:r w:rsidRPr="00BB1650">
        <w:rPr>
          <w:rFonts w:cs="Arial"/>
        </w:rPr>
        <w:t>des contrats.</w:t>
      </w:r>
    </w:p>
    <w:p w14:paraId="1494483B" w14:textId="77777777" w:rsidR="00C81B2E" w:rsidRPr="00BB1650" w:rsidRDefault="00C81B2E" w:rsidP="00C81B2E">
      <w:pPr>
        <w:pStyle w:val="Paragraphedeliste"/>
        <w:numPr>
          <w:ilvl w:val="0"/>
          <w:numId w:val="5"/>
        </w:numPr>
        <w:rPr>
          <w:rFonts w:cs="Arial"/>
        </w:rPr>
      </w:pPr>
      <w:r w:rsidRPr="00BB1650">
        <w:rPr>
          <w:rFonts w:cs="Arial"/>
        </w:rPr>
        <w:t>La stratégie contractuelle et les</w:t>
      </w:r>
      <w:r>
        <w:rPr>
          <w:rFonts w:cs="Arial"/>
        </w:rPr>
        <w:t xml:space="preserve"> </w:t>
      </w:r>
      <w:r w:rsidRPr="00BB1650">
        <w:rPr>
          <w:rFonts w:cs="Arial"/>
        </w:rPr>
        <w:t>procédures de passation de</w:t>
      </w:r>
      <w:r>
        <w:rPr>
          <w:rFonts w:cs="Arial"/>
        </w:rPr>
        <w:t xml:space="preserve"> </w:t>
      </w:r>
      <w:r w:rsidRPr="00BB1650">
        <w:rPr>
          <w:rFonts w:cs="Arial"/>
        </w:rPr>
        <w:t>marché.</w:t>
      </w:r>
    </w:p>
    <w:p w14:paraId="17A3BA8E" w14:textId="77777777" w:rsidR="00C81B2E" w:rsidRPr="00BB1650" w:rsidRDefault="00C81B2E" w:rsidP="00C81B2E">
      <w:pPr>
        <w:pStyle w:val="Paragraphedeliste"/>
        <w:numPr>
          <w:ilvl w:val="0"/>
          <w:numId w:val="5"/>
        </w:numPr>
        <w:rPr>
          <w:rFonts w:cs="Arial"/>
        </w:rPr>
      </w:pPr>
      <w:r w:rsidRPr="00BB1650">
        <w:rPr>
          <w:rFonts w:cs="Arial"/>
        </w:rPr>
        <w:t>Le respect des contraintes et</w:t>
      </w:r>
      <w:r>
        <w:rPr>
          <w:rFonts w:cs="Arial"/>
        </w:rPr>
        <w:t xml:space="preserve"> </w:t>
      </w:r>
      <w:r w:rsidRPr="00BB1650">
        <w:rPr>
          <w:rFonts w:cs="Arial"/>
        </w:rPr>
        <w:t>exigences (approche</w:t>
      </w:r>
      <w:r>
        <w:rPr>
          <w:rFonts w:cs="Arial"/>
        </w:rPr>
        <w:t xml:space="preserve"> </w:t>
      </w:r>
      <w:r w:rsidRPr="00BB1650">
        <w:rPr>
          <w:rFonts w:cs="Arial"/>
        </w:rPr>
        <w:t>réglementaire, environnement,</w:t>
      </w:r>
      <w:r>
        <w:rPr>
          <w:rFonts w:cs="Arial"/>
        </w:rPr>
        <w:t xml:space="preserve"> </w:t>
      </w:r>
      <w:r w:rsidRPr="00BB1650">
        <w:rPr>
          <w:rFonts w:cs="Arial"/>
        </w:rPr>
        <w:t>sécurité...).</w:t>
      </w:r>
    </w:p>
    <w:p w14:paraId="7F38991F" w14:textId="77777777" w:rsidR="00C81B2E" w:rsidRPr="00BB1650" w:rsidRDefault="00C81B2E" w:rsidP="00C81B2E">
      <w:pPr>
        <w:pStyle w:val="Paragraphedeliste"/>
        <w:numPr>
          <w:ilvl w:val="0"/>
          <w:numId w:val="5"/>
        </w:numPr>
        <w:rPr>
          <w:rFonts w:cs="Arial"/>
        </w:rPr>
      </w:pPr>
      <w:r w:rsidRPr="00BB1650">
        <w:rPr>
          <w:rFonts w:cs="Arial"/>
        </w:rPr>
        <w:t>Le choix de la procédure de</w:t>
      </w:r>
      <w:r>
        <w:rPr>
          <w:rFonts w:cs="Arial"/>
        </w:rPr>
        <w:t xml:space="preserve"> </w:t>
      </w:r>
      <w:r w:rsidRPr="00BB1650">
        <w:rPr>
          <w:rFonts w:cs="Arial"/>
        </w:rPr>
        <w:t>passation du marché :</w:t>
      </w:r>
    </w:p>
    <w:p w14:paraId="39573BAA" w14:textId="77777777" w:rsidR="00C81B2E" w:rsidRPr="00BB1650" w:rsidRDefault="00C81B2E" w:rsidP="00C81B2E">
      <w:pPr>
        <w:pStyle w:val="Paragraphedeliste"/>
        <w:numPr>
          <w:ilvl w:val="0"/>
          <w:numId w:val="5"/>
        </w:numPr>
        <w:rPr>
          <w:rFonts w:cs="Arial"/>
        </w:rPr>
      </w:pPr>
      <w:r w:rsidRPr="00BB1650">
        <w:rPr>
          <w:rFonts w:cs="Arial"/>
        </w:rPr>
        <w:t>Les différents contrats FIDIC,</w:t>
      </w:r>
    </w:p>
    <w:p w14:paraId="6298B6E8" w14:textId="77777777" w:rsidR="00C81B2E" w:rsidRDefault="00C81B2E" w:rsidP="00C81B2E">
      <w:pPr>
        <w:pStyle w:val="Paragraphedeliste"/>
        <w:numPr>
          <w:ilvl w:val="0"/>
          <w:numId w:val="5"/>
        </w:numPr>
        <w:rPr>
          <w:rFonts w:cs="Arial"/>
        </w:rPr>
      </w:pPr>
      <w:r w:rsidRPr="00BB1650">
        <w:rPr>
          <w:rFonts w:cs="Arial"/>
        </w:rPr>
        <w:t>Les principes de la</w:t>
      </w:r>
      <w:r>
        <w:rPr>
          <w:rFonts w:cs="Arial"/>
        </w:rPr>
        <w:t xml:space="preserve"> </w:t>
      </w:r>
      <w:r w:rsidRPr="00BB1650">
        <w:rPr>
          <w:rFonts w:cs="Arial"/>
        </w:rPr>
        <w:t>contractualisation.</w:t>
      </w:r>
    </w:p>
    <w:p w14:paraId="17ADCD6E" w14:textId="77777777" w:rsidR="00C81B2E" w:rsidRPr="00E52A21" w:rsidRDefault="00C81B2E" w:rsidP="00C81B2E">
      <w:pPr>
        <w:pStyle w:val="Paragraphedeliste"/>
        <w:numPr>
          <w:ilvl w:val="0"/>
          <w:numId w:val="5"/>
        </w:numPr>
        <w:rPr>
          <w:rFonts w:cs="Arial"/>
        </w:rPr>
      </w:pPr>
      <w:r w:rsidRPr="007D6B9F">
        <w:rPr>
          <w:rFonts w:cs="Arial"/>
        </w:rPr>
        <w:t>Plan de gestion des contrats et passation des marchés</w:t>
      </w:r>
    </w:p>
    <w:p w14:paraId="01AEC510" w14:textId="77777777" w:rsidR="00C81B2E" w:rsidRDefault="00C81B2E" w:rsidP="00C81B2E">
      <w:pPr>
        <w:ind w:left="0"/>
        <w:rPr>
          <w:rFonts w:cs="Arial"/>
          <w:u w:val="single"/>
        </w:rPr>
      </w:pPr>
      <w:r w:rsidRPr="00BB1650">
        <w:rPr>
          <w:rFonts w:cs="Arial"/>
          <w:u w:val="single"/>
        </w:rPr>
        <w:t>Gestion des contrats et de la phase de réalisation</w:t>
      </w:r>
    </w:p>
    <w:p w14:paraId="28CAB0F5" w14:textId="77777777" w:rsidR="00C81B2E" w:rsidRDefault="00C81B2E" w:rsidP="00C81B2E">
      <w:pPr>
        <w:pStyle w:val="Paragraphedeliste"/>
        <w:numPr>
          <w:ilvl w:val="0"/>
          <w:numId w:val="5"/>
        </w:numPr>
        <w:rPr>
          <w:rFonts w:cs="Arial"/>
        </w:rPr>
      </w:pPr>
      <w:r w:rsidRPr="00BB1650">
        <w:rPr>
          <w:rFonts w:cs="Arial"/>
        </w:rPr>
        <w:t>Les différents documents</w:t>
      </w:r>
      <w:r>
        <w:rPr>
          <w:rFonts w:cs="Arial"/>
        </w:rPr>
        <w:t xml:space="preserve"> </w:t>
      </w:r>
      <w:r w:rsidRPr="00BB1650">
        <w:rPr>
          <w:rFonts w:cs="Arial"/>
        </w:rPr>
        <w:t>contractuels.</w:t>
      </w:r>
    </w:p>
    <w:p w14:paraId="02F37F0D" w14:textId="77777777" w:rsidR="00C81B2E" w:rsidRDefault="00C81B2E" w:rsidP="00C81B2E">
      <w:pPr>
        <w:pStyle w:val="Paragraphedeliste"/>
        <w:numPr>
          <w:ilvl w:val="0"/>
          <w:numId w:val="5"/>
        </w:numPr>
        <w:rPr>
          <w:rFonts w:cs="Arial"/>
        </w:rPr>
      </w:pPr>
      <w:r w:rsidRPr="00BB1650">
        <w:rPr>
          <w:rFonts w:cs="Arial"/>
        </w:rPr>
        <w:t>Les dispositions générales.</w:t>
      </w:r>
    </w:p>
    <w:p w14:paraId="525DCA3F" w14:textId="77777777" w:rsidR="00C81B2E" w:rsidRPr="00BB1650" w:rsidRDefault="00C81B2E" w:rsidP="00C81B2E">
      <w:pPr>
        <w:pStyle w:val="Paragraphedeliste"/>
        <w:numPr>
          <w:ilvl w:val="0"/>
          <w:numId w:val="5"/>
        </w:numPr>
        <w:rPr>
          <w:rFonts w:cs="Arial"/>
        </w:rPr>
      </w:pPr>
      <w:r w:rsidRPr="00BB1650">
        <w:rPr>
          <w:rFonts w:cs="Arial"/>
        </w:rPr>
        <w:t>L'organisation, le rôle et les</w:t>
      </w:r>
      <w:r>
        <w:rPr>
          <w:rFonts w:cs="Arial"/>
        </w:rPr>
        <w:t xml:space="preserve"> </w:t>
      </w:r>
      <w:r w:rsidRPr="00BB1650">
        <w:rPr>
          <w:rFonts w:cs="Arial"/>
        </w:rPr>
        <w:t xml:space="preserve">responsabilités </w:t>
      </w:r>
      <w:r>
        <w:rPr>
          <w:rFonts w:cs="Arial"/>
        </w:rPr>
        <w:t>des différentes parties</w:t>
      </w:r>
      <w:r w:rsidRPr="00BB1650">
        <w:rPr>
          <w:rFonts w:cs="Arial"/>
        </w:rPr>
        <w:t xml:space="preserve"> :</w:t>
      </w:r>
    </w:p>
    <w:p w14:paraId="7324B963" w14:textId="77777777" w:rsidR="00C81B2E" w:rsidRDefault="00C81B2E" w:rsidP="00C81B2E">
      <w:pPr>
        <w:pStyle w:val="Paragraphedeliste"/>
        <w:numPr>
          <w:ilvl w:val="0"/>
          <w:numId w:val="6"/>
        </w:numPr>
        <w:rPr>
          <w:rFonts w:cs="Arial"/>
        </w:rPr>
      </w:pPr>
      <w:r>
        <w:rPr>
          <w:rFonts w:cs="Arial"/>
        </w:rPr>
        <w:t>Le</w:t>
      </w:r>
      <w:r w:rsidRPr="00BB1650">
        <w:rPr>
          <w:rFonts w:cs="Arial"/>
        </w:rPr>
        <w:t xml:space="preserve"> maîtr</w:t>
      </w:r>
      <w:r>
        <w:rPr>
          <w:rFonts w:cs="Arial"/>
        </w:rPr>
        <w:t>e</w:t>
      </w:r>
      <w:r w:rsidRPr="00BB1650">
        <w:rPr>
          <w:rFonts w:cs="Arial"/>
        </w:rPr>
        <w:t xml:space="preserve"> d'ouvrage : la</w:t>
      </w:r>
      <w:r>
        <w:rPr>
          <w:rFonts w:cs="Arial"/>
        </w:rPr>
        <w:t xml:space="preserve"> </w:t>
      </w:r>
      <w:r w:rsidRPr="00BB1650">
        <w:rPr>
          <w:rFonts w:cs="Arial"/>
        </w:rPr>
        <w:t>constitution et la coordination de</w:t>
      </w:r>
      <w:r>
        <w:rPr>
          <w:rFonts w:cs="Arial"/>
        </w:rPr>
        <w:t xml:space="preserve"> </w:t>
      </w:r>
      <w:r w:rsidRPr="00BB1650">
        <w:rPr>
          <w:rFonts w:cs="Arial"/>
        </w:rPr>
        <w:t>l'équipe projet,</w:t>
      </w:r>
    </w:p>
    <w:p w14:paraId="62E90E63" w14:textId="77777777" w:rsidR="00C81B2E" w:rsidRDefault="00C81B2E" w:rsidP="00C81B2E">
      <w:pPr>
        <w:pStyle w:val="Paragraphedeliste"/>
        <w:numPr>
          <w:ilvl w:val="0"/>
          <w:numId w:val="6"/>
        </w:numPr>
        <w:rPr>
          <w:rFonts w:cs="Arial"/>
        </w:rPr>
      </w:pPr>
      <w:r>
        <w:rPr>
          <w:rFonts w:cs="Arial"/>
        </w:rPr>
        <w:t xml:space="preserve">Le maitre d’œuvre </w:t>
      </w:r>
      <w:r w:rsidRPr="00BB1650">
        <w:rPr>
          <w:rFonts w:cs="Arial"/>
        </w:rPr>
        <w:t>: la constitution, la</w:t>
      </w:r>
      <w:r>
        <w:rPr>
          <w:rFonts w:cs="Arial"/>
        </w:rPr>
        <w:t xml:space="preserve"> </w:t>
      </w:r>
      <w:r w:rsidRPr="00BB1650">
        <w:rPr>
          <w:rFonts w:cs="Arial"/>
        </w:rPr>
        <w:t>nomination et les procédures pour</w:t>
      </w:r>
      <w:r>
        <w:rPr>
          <w:rFonts w:cs="Arial"/>
        </w:rPr>
        <w:t xml:space="preserve"> </w:t>
      </w:r>
      <w:r w:rsidRPr="00BB1650">
        <w:rPr>
          <w:rFonts w:cs="Arial"/>
        </w:rPr>
        <w:t>l'ingénieur,</w:t>
      </w:r>
    </w:p>
    <w:p w14:paraId="21D9DCE2" w14:textId="77777777" w:rsidR="00C81B2E" w:rsidRPr="00BB1650" w:rsidRDefault="00C81B2E" w:rsidP="00C81B2E">
      <w:pPr>
        <w:pStyle w:val="Paragraphedeliste"/>
        <w:numPr>
          <w:ilvl w:val="0"/>
          <w:numId w:val="6"/>
        </w:numPr>
        <w:rPr>
          <w:rFonts w:cs="Arial"/>
        </w:rPr>
      </w:pPr>
      <w:r>
        <w:rPr>
          <w:rFonts w:cs="Arial"/>
        </w:rPr>
        <w:t>L</w:t>
      </w:r>
      <w:r w:rsidRPr="00BB1650">
        <w:rPr>
          <w:rFonts w:cs="Arial"/>
        </w:rPr>
        <w:t>'entrepreneur : l'élaboration du</w:t>
      </w:r>
      <w:r>
        <w:rPr>
          <w:rFonts w:cs="Arial"/>
        </w:rPr>
        <w:t xml:space="preserve"> programme</w:t>
      </w:r>
      <w:r w:rsidRPr="00BB1650">
        <w:rPr>
          <w:rFonts w:cs="Arial"/>
        </w:rPr>
        <w:t xml:space="preserve"> d'opération et le</w:t>
      </w:r>
      <w:r>
        <w:rPr>
          <w:rFonts w:cs="Arial"/>
        </w:rPr>
        <w:t xml:space="preserve"> </w:t>
      </w:r>
      <w:r w:rsidRPr="00BB1650">
        <w:rPr>
          <w:rFonts w:cs="Arial"/>
        </w:rPr>
        <w:t>contrôle budgétaire.</w:t>
      </w:r>
    </w:p>
    <w:p w14:paraId="3DFB99AD" w14:textId="77777777" w:rsidR="00C81B2E" w:rsidRPr="00CC0FC0" w:rsidRDefault="00C81B2E" w:rsidP="00C81B2E">
      <w:pPr>
        <w:pStyle w:val="Paragraphedeliste"/>
        <w:numPr>
          <w:ilvl w:val="0"/>
          <w:numId w:val="5"/>
        </w:numPr>
        <w:rPr>
          <w:rFonts w:cs="Arial"/>
        </w:rPr>
      </w:pPr>
      <w:r w:rsidRPr="00CC0FC0">
        <w:rPr>
          <w:rFonts w:cs="Arial"/>
        </w:rPr>
        <w:t>Suivi et contrôle de l’exécution</w:t>
      </w:r>
    </w:p>
    <w:p w14:paraId="52393CF7" w14:textId="77777777" w:rsidR="00551275" w:rsidRDefault="00551275" w:rsidP="00C81B2E">
      <w:pPr>
        <w:pStyle w:val="Paragraphedeliste"/>
        <w:numPr>
          <w:ilvl w:val="0"/>
          <w:numId w:val="5"/>
        </w:numPr>
        <w:rPr>
          <w:rFonts w:cs="Arial"/>
        </w:rPr>
      </w:pPr>
      <w:r>
        <w:rPr>
          <w:rFonts w:cs="Arial"/>
        </w:rPr>
        <w:t>Tests d’achèvement et réception des travaux</w:t>
      </w:r>
    </w:p>
    <w:p w14:paraId="52112B03" w14:textId="77F02145" w:rsidR="00551275" w:rsidRDefault="00551275" w:rsidP="00551275">
      <w:pPr>
        <w:pStyle w:val="Paragraphedeliste"/>
        <w:numPr>
          <w:ilvl w:val="0"/>
          <w:numId w:val="10"/>
        </w:numPr>
        <w:rPr>
          <w:rFonts w:cs="Arial"/>
        </w:rPr>
      </w:pPr>
      <w:r w:rsidRPr="00551275">
        <w:rPr>
          <w:rFonts w:cs="Arial"/>
        </w:rPr>
        <w:t>L’usage des tests à la réception et le type de conditions particulières qui y sont associées</w:t>
      </w:r>
      <w:r>
        <w:rPr>
          <w:rFonts w:cs="Arial"/>
        </w:rPr>
        <w:t> ;</w:t>
      </w:r>
    </w:p>
    <w:p w14:paraId="7EF11E95" w14:textId="5A38086D" w:rsidR="00551275" w:rsidRPr="00551275" w:rsidRDefault="00551275" w:rsidP="00551275">
      <w:pPr>
        <w:pStyle w:val="Paragraphedeliste"/>
        <w:numPr>
          <w:ilvl w:val="0"/>
          <w:numId w:val="10"/>
        </w:numPr>
        <w:rPr>
          <w:rFonts w:cs="Arial"/>
        </w:rPr>
      </w:pPr>
      <w:r w:rsidRPr="00551275">
        <w:rPr>
          <w:rFonts w:cs="Arial"/>
        </w:rPr>
        <w:t>Les conditions particulières de la réception des travaux qui ne passent pas les tests</w:t>
      </w:r>
      <w:r>
        <w:rPr>
          <w:rFonts w:cs="Arial"/>
        </w:rPr>
        <w:t> ;</w:t>
      </w:r>
    </w:p>
    <w:p w14:paraId="784357F0" w14:textId="18B77BB2" w:rsidR="00C81B2E" w:rsidRDefault="00C81B2E" w:rsidP="00C81B2E">
      <w:pPr>
        <w:pStyle w:val="Paragraphedeliste"/>
        <w:numPr>
          <w:ilvl w:val="0"/>
          <w:numId w:val="5"/>
        </w:numPr>
        <w:rPr>
          <w:rFonts w:cs="Arial"/>
        </w:rPr>
      </w:pPr>
      <w:r w:rsidRPr="00BB1650">
        <w:rPr>
          <w:rFonts w:cs="Arial"/>
        </w:rPr>
        <w:t>Les cautions de garantie, clauses financières et procédurales.</w:t>
      </w:r>
    </w:p>
    <w:p w14:paraId="4A918713" w14:textId="77777777" w:rsidR="00C81B2E" w:rsidRDefault="00C81B2E" w:rsidP="00C81B2E">
      <w:pPr>
        <w:pStyle w:val="Paragraphedeliste"/>
        <w:numPr>
          <w:ilvl w:val="0"/>
          <w:numId w:val="5"/>
        </w:numPr>
        <w:rPr>
          <w:rFonts w:cs="Arial"/>
        </w:rPr>
      </w:pPr>
      <w:r w:rsidRPr="00955E79">
        <w:rPr>
          <w:rFonts w:cs="Arial"/>
        </w:rPr>
        <w:t>Gestion financière et paiements</w:t>
      </w:r>
    </w:p>
    <w:p w14:paraId="25F69F14" w14:textId="3F185660" w:rsidR="007D0946" w:rsidRPr="007D0946" w:rsidRDefault="007D0946" w:rsidP="007D0946">
      <w:pPr>
        <w:pStyle w:val="Paragraphedeliste"/>
        <w:numPr>
          <w:ilvl w:val="0"/>
          <w:numId w:val="5"/>
        </w:numPr>
        <w:rPr>
          <w:rFonts w:cs="Arial"/>
        </w:rPr>
      </w:pPr>
      <w:r w:rsidRPr="007D0946">
        <w:rPr>
          <w:rFonts w:cs="Arial"/>
        </w:rPr>
        <w:t>Les conditions de paiement intermédiaires et les limites dans le cas de travaux pour lesquels il</w:t>
      </w:r>
      <w:r w:rsidRPr="007D0946">
        <w:t xml:space="preserve"> </w:t>
      </w:r>
      <w:r w:rsidRPr="007D0946">
        <w:rPr>
          <w:rFonts w:cs="Arial"/>
        </w:rPr>
        <w:t>n’y a pas de réception intermédiaires (cas des forages).</w:t>
      </w:r>
    </w:p>
    <w:p w14:paraId="4BF7CB87" w14:textId="71FA2F54" w:rsidR="00C81B2E" w:rsidRDefault="00C81B2E" w:rsidP="00C81B2E">
      <w:pPr>
        <w:pStyle w:val="Paragraphedeliste"/>
        <w:numPr>
          <w:ilvl w:val="0"/>
          <w:numId w:val="5"/>
        </w:numPr>
        <w:rPr>
          <w:rFonts w:cs="Arial"/>
        </w:rPr>
      </w:pPr>
      <w:r w:rsidRPr="007D6B9F">
        <w:rPr>
          <w:rFonts w:cs="Arial"/>
        </w:rPr>
        <w:t>Procédures de décaissement</w:t>
      </w:r>
    </w:p>
    <w:p w14:paraId="126DC8A7" w14:textId="3DB7AC49" w:rsidR="00551275" w:rsidRPr="007D0946" w:rsidRDefault="00C81B2E" w:rsidP="007D0946">
      <w:pPr>
        <w:pStyle w:val="Paragraphedeliste"/>
        <w:numPr>
          <w:ilvl w:val="0"/>
          <w:numId w:val="5"/>
        </w:numPr>
        <w:rPr>
          <w:rFonts w:cs="Arial"/>
        </w:rPr>
      </w:pPr>
      <w:r w:rsidRPr="00BB1650">
        <w:rPr>
          <w:rFonts w:cs="Arial"/>
        </w:rPr>
        <w:t>L</w:t>
      </w:r>
      <w:r>
        <w:rPr>
          <w:rFonts w:cs="Arial"/>
        </w:rPr>
        <w:t>’</w:t>
      </w:r>
      <w:r w:rsidRPr="00BB1650">
        <w:rPr>
          <w:rFonts w:cs="Arial"/>
        </w:rPr>
        <w:t>analyse des risques, assurances et forces majeures.</w:t>
      </w:r>
    </w:p>
    <w:p w14:paraId="6BCBE8EF" w14:textId="77777777" w:rsidR="00C81B2E" w:rsidRPr="00AD5AC1" w:rsidRDefault="00C81B2E" w:rsidP="00C81B2E">
      <w:pPr>
        <w:ind w:left="0"/>
        <w:rPr>
          <w:rFonts w:cs="Arial"/>
          <w:u w:val="single"/>
        </w:rPr>
      </w:pPr>
      <w:r w:rsidRPr="00AD5AC1">
        <w:rPr>
          <w:rFonts w:cs="Arial"/>
          <w:u w:val="single"/>
        </w:rPr>
        <w:t>Prévention et gestion des litiges</w:t>
      </w:r>
    </w:p>
    <w:p w14:paraId="08B405B3" w14:textId="77777777" w:rsidR="00C81B2E" w:rsidRDefault="00C81B2E" w:rsidP="00C81B2E">
      <w:pPr>
        <w:pStyle w:val="Paragraphedeliste"/>
        <w:numPr>
          <w:ilvl w:val="0"/>
          <w:numId w:val="5"/>
        </w:numPr>
        <w:rPr>
          <w:rFonts w:cs="Arial"/>
        </w:rPr>
      </w:pPr>
      <w:r w:rsidRPr="00AD5AC1">
        <w:rPr>
          <w:rFonts w:cs="Arial"/>
        </w:rPr>
        <w:t>Le prévention des litiges.</w:t>
      </w:r>
    </w:p>
    <w:p w14:paraId="7D4B54A7" w14:textId="77777777" w:rsidR="00C81B2E" w:rsidRDefault="00C81B2E" w:rsidP="00C81B2E">
      <w:pPr>
        <w:pStyle w:val="Paragraphedeliste"/>
        <w:numPr>
          <w:ilvl w:val="0"/>
          <w:numId w:val="5"/>
        </w:numPr>
        <w:rPr>
          <w:rFonts w:cs="Arial"/>
        </w:rPr>
      </w:pPr>
      <w:r w:rsidRPr="00E52A21">
        <w:rPr>
          <w:rFonts w:cs="Arial"/>
        </w:rPr>
        <w:t>Procédures de réclamation</w:t>
      </w:r>
    </w:p>
    <w:p w14:paraId="4DFB8673" w14:textId="77777777" w:rsidR="00C81B2E" w:rsidRDefault="00C81B2E" w:rsidP="00C81B2E">
      <w:pPr>
        <w:pStyle w:val="Paragraphedeliste"/>
        <w:numPr>
          <w:ilvl w:val="0"/>
          <w:numId w:val="5"/>
        </w:numPr>
        <w:rPr>
          <w:rFonts w:cs="Arial"/>
        </w:rPr>
      </w:pPr>
      <w:r w:rsidRPr="00AD5AC1">
        <w:rPr>
          <w:rFonts w:cs="Arial"/>
        </w:rPr>
        <w:t>L'analyse et le traitement des</w:t>
      </w:r>
      <w:r>
        <w:rPr>
          <w:rFonts w:cs="Arial"/>
        </w:rPr>
        <w:t xml:space="preserve"> </w:t>
      </w:r>
      <w:r w:rsidRPr="00AD5AC1">
        <w:rPr>
          <w:rFonts w:cs="Arial"/>
        </w:rPr>
        <w:t>réclamations.</w:t>
      </w:r>
    </w:p>
    <w:p w14:paraId="4561C650" w14:textId="77777777" w:rsidR="00C81B2E" w:rsidRDefault="00C81B2E" w:rsidP="00C81B2E">
      <w:pPr>
        <w:pStyle w:val="Paragraphedeliste"/>
        <w:numPr>
          <w:ilvl w:val="0"/>
          <w:numId w:val="5"/>
        </w:numPr>
        <w:rPr>
          <w:rFonts w:cs="Arial"/>
        </w:rPr>
      </w:pPr>
      <w:r w:rsidRPr="00AD5AC1">
        <w:rPr>
          <w:rFonts w:cs="Arial"/>
        </w:rPr>
        <w:t>Le règlement des litiges à</w:t>
      </w:r>
      <w:r>
        <w:rPr>
          <w:rFonts w:cs="Arial"/>
        </w:rPr>
        <w:t xml:space="preserve"> </w:t>
      </w:r>
      <w:r w:rsidRPr="00AD5AC1">
        <w:rPr>
          <w:rFonts w:cs="Arial"/>
        </w:rPr>
        <w:t>l'amiable : recevabilité, calcul des</w:t>
      </w:r>
      <w:r>
        <w:rPr>
          <w:rFonts w:cs="Arial"/>
        </w:rPr>
        <w:t xml:space="preserve"> </w:t>
      </w:r>
      <w:r w:rsidRPr="00AD5AC1">
        <w:rPr>
          <w:rFonts w:cs="Arial"/>
        </w:rPr>
        <w:t>indemnisations.</w:t>
      </w:r>
    </w:p>
    <w:p w14:paraId="5301D16A" w14:textId="77777777" w:rsidR="00C81B2E" w:rsidRDefault="00C81B2E" w:rsidP="00C81B2E">
      <w:pPr>
        <w:pStyle w:val="Paragraphedeliste"/>
        <w:numPr>
          <w:ilvl w:val="0"/>
          <w:numId w:val="5"/>
        </w:numPr>
        <w:rPr>
          <w:rFonts w:cs="Arial"/>
        </w:rPr>
      </w:pPr>
      <w:r w:rsidRPr="00AD5AC1">
        <w:rPr>
          <w:rFonts w:cs="Arial"/>
        </w:rPr>
        <w:t>La constitution, la nomination et</w:t>
      </w:r>
      <w:r>
        <w:rPr>
          <w:rFonts w:cs="Arial"/>
        </w:rPr>
        <w:t xml:space="preserve"> </w:t>
      </w:r>
      <w:r w:rsidRPr="00AD5AC1">
        <w:rPr>
          <w:rFonts w:cs="Arial"/>
        </w:rPr>
        <w:t xml:space="preserve">les procédures des </w:t>
      </w:r>
      <w:r>
        <w:rPr>
          <w:rFonts w:cs="Arial"/>
        </w:rPr>
        <w:t>différents comités de règlement des d</w:t>
      </w:r>
      <w:r w:rsidRPr="00AD5AC1">
        <w:rPr>
          <w:rFonts w:cs="Arial"/>
        </w:rPr>
        <w:t>i</w:t>
      </w:r>
      <w:r>
        <w:rPr>
          <w:rFonts w:cs="Arial"/>
        </w:rPr>
        <w:t>fférends</w:t>
      </w:r>
    </w:p>
    <w:p w14:paraId="07CBADFF" w14:textId="77777777" w:rsidR="00C81B2E" w:rsidRDefault="00C81B2E" w:rsidP="00C81B2E">
      <w:pPr>
        <w:pStyle w:val="Paragraphedeliste"/>
        <w:numPr>
          <w:ilvl w:val="0"/>
          <w:numId w:val="5"/>
        </w:numPr>
        <w:rPr>
          <w:rFonts w:cs="Arial"/>
        </w:rPr>
      </w:pPr>
      <w:r w:rsidRPr="00AD5AC1">
        <w:rPr>
          <w:rFonts w:cs="Arial"/>
        </w:rPr>
        <w:t>Les procédures d'arbitrag</w:t>
      </w:r>
      <w:r>
        <w:rPr>
          <w:rFonts w:cs="Arial"/>
        </w:rPr>
        <w:t>e</w:t>
      </w:r>
    </w:p>
    <w:p w14:paraId="2BDEC4FD" w14:textId="77777777" w:rsidR="00C81B2E" w:rsidRDefault="00C81B2E" w:rsidP="00C81B2E">
      <w:pPr>
        <w:pStyle w:val="Paragraphedeliste"/>
        <w:numPr>
          <w:ilvl w:val="0"/>
          <w:numId w:val="5"/>
        </w:numPr>
        <w:rPr>
          <w:rFonts w:cs="Arial"/>
        </w:rPr>
      </w:pPr>
      <w:r w:rsidRPr="00AD5AC1">
        <w:rPr>
          <w:rFonts w:cs="Arial"/>
        </w:rPr>
        <w:t>La constitution du tribunal et la</w:t>
      </w:r>
      <w:r>
        <w:rPr>
          <w:rFonts w:cs="Arial"/>
        </w:rPr>
        <w:t xml:space="preserve"> </w:t>
      </w:r>
      <w:r w:rsidRPr="00AD5AC1">
        <w:rPr>
          <w:rFonts w:cs="Arial"/>
        </w:rPr>
        <w:t>nomination des arbitres.</w:t>
      </w:r>
    </w:p>
    <w:p w14:paraId="264B7EE9" w14:textId="1C03468F" w:rsidR="00C81B2E" w:rsidRDefault="00C81B2E" w:rsidP="00D834A1">
      <w:pPr>
        <w:pStyle w:val="Paragraphedeliste"/>
        <w:numPr>
          <w:ilvl w:val="0"/>
          <w:numId w:val="5"/>
        </w:numPr>
        <w:rPr>
          <w:rFonts w:cs="Arial"/>
        </w:rPr>
      </w:pPr>
      <w:r w:rsidRPr="005E5957">
        <w:rPr>
          <w:rFonts w:cs="Arial"/>
        </w:rPr>
        <w:t>Le coût d</w:t>
      </w:r>
      <w:r>
        <w:rPr>
          <w:rFonts w:cs="Arial"/>
        </w:rPr>
        <w:t xml:space="preserve">es </w:t>
      </w:r>
      <w:r w:rsidRPr="005E5957">
        <w:rPr>
          <w:rFonts w:cs="Arial"/>
        </w:rPr>
        <w:t>comités de règlement des différends</w:t>
      </w:r>
      <w:r>
        <w:rPr>
          <w:rFonts w:cs="Arial"/>
        </w:rPr>
        <w:t xml:space="preserve"> </w:t>
      </w:r>
      <w:r w:rsidRPr="005E5957">
        <w:rPr>
          <w:rFonts w:cs="Arial"/>
        </w:rPr>
        <w:t xml:space="preserve">et </w:t>
      </w:r>
      <w:r>
        <w:rPr>
          <w:rFonts w:cs="Arial"/>
        </w:rPr>
        <w:t xml:space="preserve">de </w:t>
      </w:r>
      <w:r w:rsidRPr="005E5957">
        <w:rPr>
          <w:rFonts w:cs="Arial"/>
        </w:rPr>
        <w:t>l'arbitrage</w:t>
      </w:r>
    </w:p>
    <w:p w14:paraId="5287B2BB" w14:textId="77777777" w:rsidR="008E369F" w:rsidRPr="00D834A1" w:rsidRDefault="008E369F" w:rsidP="008E369F">
      <w:pPr>
        <w:pStyle w:val="Paragraphedeliste"/>
        <w:numPr>
          <w:ilvl w:val="0"/>
          <w:numId w:val="0"/>
        </w:numPr>
        <w:ind w:left="720"/>
        <w:rPr>
          <w:rFonts w:cs="Arial"/>
        </w:rPr>
      </w:pPr>
    </w:p>
    <w:p w14:paraId="3950883D" w14:textId="24F4A19F" w:rsidR="00C81B2E" w:rsidRPr="0096127E" w:rsidRDefault="00C81B2E" w:rsidP="00D834A1">
      <w:pPr>
        <w:pStyle w:val="Titre2"/>
        <w:numPr>
          <w:ilvl w:val="0"/>
          <w:numId w:val="9"/>
        </w:numPr>
      </w:pPr>
      <w:r>
        <w:t>Résultats attendus</w:t>
      </w:r>
    </w:p>
    <w:p w14:paraId="61874C99" w14:textId="77777777" w:rsidR="00C81B2E" w:rsidRDefault="00C81B2E" w:rsidP="00C81B2E">
      <w:pPr>
        <w:pStyle w:val="Puce1"/>
        <w:numPr>
          <w:ilvl w:val="0"/>
          <w:numId w:val="7"/>
        </w:numPr>
        <w:ind w:left="1134" w:hanging="425"/>
      </w:pPr>
      <w:r>
        <w:t xml:space="preserve">Les bénéficiaires de la formation ont développé </w:t>
      </w:r>
      <w:r w:rsidRPr="006B0C48">
        <w:t xml:space="preserve">les connaissances sur les différentes typologies de contrat FIDIC, </w:t>
      </w:r>
      <w:r>
        <w:t xml:space="preserve">sur </w:t>
      </w:r>
      <w:r w:rsidRPr="006B0C48">
        <w:t>les procédures de passation des marchés</w:t>
      </w:r>
      <w:r>
        <w:t xml:space="preserve">, sur </w:t>
      </w:r>
      <w:r w:rsidRPr="006B0C48">
        <w:t xml:space="preserve">la stratégie contractuelle </w:t>
      </w:r>
      <w:r>
        <w:t xml:space="preserve">et </w:t>
      </w:r>
      <w:r w:rsidRPr="006B0C48">
        <w:t>maitrise</w:t>
      </w:r>
      <w:r>
        <w:t>nt</w:t>
      </w:r>
      <w:r w:rsidRPr="006B0C48">
        <w:t xml:space="preserve"> les procédures de préparation et d’exécution des contrats FIDIC</w:t>
      </w:r>
      <w:r>
        <w:t> ;</w:t>
      </w:r>
    </w:p>
    <w:p w14:paraId="1E926B84" w14:textId="77777777" w:rsidR="00C81B2E" w:rsidRDefault="00C81B2E" w:rsidP="00C81B2E">
      <w:pPr>
        <w:pStyle w:val="Puce1"/>
        <w:numPr>
          <w:ilvl w:val="0"/>
          <w:numId w:val="7"/>
        </w:numPr>
        <w:ind w:left="1134" w:hanging="425"/>
      </w:pPr>
      <w:r>
        <w:lastRenderedPageBreak/>
        <w:t xml:space="preserve">Les bénéficiaires de la formation ont acquis </w:t>
      </w:r>
      <w:r w:rsidRPr="006B0C48">
        <w:t>les connaissances sur les spécificités de</w:t>
      </w:r>
      <w:r>
        <w:t>s</w:t>
      </w:r>
      <w:r w:rsidRPr="006B0C48">
        <w:t xml:space="preserve"> contrats de type FIDIC Rouge </w:t>
      </w:r>
      <w:r>
        <w:t>et sont à mesure d’</w:t>
      </w:r>
      <w:r w:rsidRPr="00E90A06">
        <w:t>utiliser aisément ces modèles de contrat</w:t>
      </w:r>
      <w:r>
        <w:t>s ;</w:t>
      </w:r>
    </w:p>
    <w:p w14:paraId="723369F0" w14:textId="77777777" w:rsidR="00C81B2E" w:rsidRDefault="00C81B2E" w:rsidP="00C81B2E">
      <w:pPr>
        <w:pStyle w:val="Puce1"/>
        <w:numPr>
          <w:ilvl w:val="0"/>
          <w:numId w:val="7"/>
        </w:numPr>
        <w:ind w:left="1134" w:hanging="425"/>
      </w:pPr>
      <w:r>
        <w:t xml:space="preserve">Les bénéficiaires de la formation connaissent </w:t>
      </w:r>
      <w:r w:rsidRPr="00E90A06">
        <w:t xml:space="preserve">les rôles et responsabilités, ainsi que les risques alloués aux </w:t>
      </w:r>
      <w:r>
        <w:t xml:space="preserve">différents acteurs </w:t>
      </w:r>
      <w:r w:rsidRPr="00E90A06">
        <w:t>dans le contrat</w:t>
      </w:r>
      <w:r>
        <w:t xml:space="preserve"> FIDIC </w:t>
      </w:r>
      <w:r w:rsidRPr="00E90A06">
        <w:t>et sont à mesure de gérer le processus FIDIC d’administration d’une opération de construction, de la mise en vigueur du contrat jusqu’à sa clôture ;</w:t>
      </w:r>
    </w:p>
    <w:p w14:paraId="397404DD" w14:textId="77777777" w:rsidR="00C81B2E" w:rsidRDefault="00C81B2E" w:rsidP="00C81B2E">
      <w:pPr>
        <w:pStyle w:val="Puce1"/>
        <w:numPr>
          <w:ilvl w:val="0"/>
          <w:numId w:val="7"/>
        </w:numPr>
        <w:ind w:left="1134" w:hanging="425"/>
      </w:pPr>
      <w:r w:rsidRPr="00E90A06">
        <w:t>Les bénéficiaires de la formation ont développé les c</w:t>
      </w:r>
      <w:r>
        <w:t xml:space="preserve">onnaissances </w:t>
      </w:r>
      <w:r w:rsidRPr="00E90A06">
        <w:t>des procédures de gestion des réclamations dans les contrats FIDIC et ont acqu</w:t>
      </w:r>
      <w:r>
        <w:t>is</w:t>
      </w:r>
      <w:r w:rsidRPr="00E90A06">
        <w:t xml:space="preserve"> les bonnes pratiques, en matière de règlement des litiges dans le cadre des Conditions de Contrat FIDIC</w:t>
      </w:r>
      <w:r>
        <w:t>.</w:t>
      </w:r>
    </w:p>
    <w:p w14:paraId="32EB62AF" w14:textId="77777777" w:rsidR="00C81B2E" w:rsidRPr="00E90A06" w:rsidRDefault="00C81B2E" w:rsidP="00C81B2E">
      <w:pPr>
        <w:pStyle w:val="Puce1"/>
        <w:numPr>
          <w:ilvl w:val="0"/>
          <w:numId w:val="0"/>
        </w:numPr>
        <w:ind w:left="1134"/>
      </w:pPr>
    </w:p>
    <w:p w14:paraId="0B35A998" w14:textId="29796D9C" w:rsidR="00C81B2E" w:rsidRPr="0096127E" w:rsidRDefault="00C81B2E" w:rsidP="00D834A1">
      <w:pPr>
        <w:pStyle w:val="Titre2"/>
        <w:numPr>
          <w:ilvl w:val="0"/>
          <w:numId w:val="9"/>
        </w:numPr>
      </w:pPr>
      <w:r>
        <w:t>Livrables attendus de la mission</w:t>
      </w:r>
    </w:p>
    <w:p w14:paraId="24B7F3C7" w14:textId="77777777" w:rsidR="00C81B2E" w:rsidRDefault="00C81B2E" w:rsidP="00C81B2E">
      <w:pPr>
        <w:pStyle w:val="Puce1"/>
        <w:numPr>
          <w:ilvl w:val="0"/>
          <w:numId w:val="0"/>
        </w:numPr>
      </w:pPr>
      <w:r w:rsidRPr="008141BF">
        <w:t xml:space="preserve">Avant le démarrage de </w:t>
      </w:r>
      <w:r>
        <w:t xml:space="preserve">la </w:t>
      </w:r>
      <w:r w:rsidRPr="008141BF">
        <w:t>formation le C</w:t>
      </w:r>
      <w:r>
        <w:t>onsultant</w:t>
      </w:r>
      <w:r w:rsidRPr="008141BF">
        <w:t xml:space="preserve"> remettra </w:t>
      </w:r>
      <w:r>
        <w:t xml:space="preserve">à l’UCP </w:t>
      </w:r>
      <w:r w:rsidRPr="008141BF">
        <w:t>les documents suivants :</w:t>
      </w:r>
    </w:p>
    <w:p w14:paraId="400FDEAD" w14:textId="77777777" w:rsidR="00C81B2E" w:rsidRDefault="00C81B2E" w:rsidP="00C81B2E">
      <w:pPr>
        <w:pStyle w:val="Puce1"/>
        <w:numPr>
          <w:ilvl w:val="0"/>
          <w:numId w:val="5"/>
        </w:numPr>
      </w:pPr>
      <w:r>
        <w:t>Les supports de formation en version provisoire relatifs à chaque module ;</w:t>
      </w:r>
    </w:p>
    <w:p w14:paraId="3BDE7454" w14:textId="77777777" w:rsidR="00C81B2E" w:rsidRDefault="00C81B2E" w:rsidP="00C81B2E">
      <w:pPr>
        <w:pStyle w:val="Puce1"/>
        <w:numPr>
          <w:ilvl w:val="0"/>
          <w:numId w:val="5"/>
        </w:numPr>
      </w:pPr>
      <w:r>
        <w:t>Le programme de chaque module de formation ;</w:t>
      </w:r>
    </w:p>
    <w:p w14:paraId="6021A06B" w14:textId="77777777" w:rsidR="00C81B2E" w:rsidRDefault="00C81B2E" w:rsidP="00C81B2E">
      <w:pPr>
        <w:pStyle w:val="Puce1"/>
        <w:numPr>
          <w:ilvl w:val="0"/>
          <w:numId w:val="5"/>
        </w:numPr>
      </w:pPr>
      <w:r>
        <w:t>Les tests d’évaluation des acquis en version provisoire.</w:t>
      </w:r>
    </w:p>
    <w:p w14:paraId="6BE6CFB8" w14:textId="59692D95" w:rsidR="00C81B2E" w:rsidRDefault="00C81B2E" w:rsidP="00D834A1">
      <w:pPr>
        <w:pStyle w:val="Puce1"/>
        <w:numPr>
          <w:ilvl w:val="0"/>
          <w:numId w:val="0"/>
        </w:numPr>
      </w:pPr>
      <w:r>
        <w:t>L</w:t>
      </w:r>
      <w:r w:rsidRPr="00E563F4">
        <w:t>es supports, les tests et le planning feront l’objet d’une validation de la part d</w:t>
      </w:r>
      <w:r>
        <w:t>e l’UCP.</w:t>
      </w:r>
    </w:p>
    <w:p w14:paraId="10BBAA07" w14:textId="77777777" w:rsidR="00C81B2E" w:rsidRDefault="00C81B2E" w:rsidP="00C81B2E">
      <w:pPr>
        <w:pStyle w:val="Puce1"/>
        <w:numPr>
          <w:ilvl w:val="0"/>
          <w:numId w:val="0"/>
        </w:numPr>
      </w:pPr>
      <w:r>
        <w:t xml:space="preserve">Le livrable remis par le Consultant à l’UCP à l’issue de la formation </w:t>
      </w:r>
      <w:r w:rsidRPr="00E563F4">
        <w:t>sera constitué d’un rapport contenant obligatoirement les chapitres suivants</w:t>
      </w:r>
      <w:r>
        <w:t> :</w:t>
      </w:r>
    </w:p>
    <w:p w14:paraId="0A767C7A" w14:textId="77777777" w:rsidR="00C81B2E" w:rsidRDefault="00C81B2E" w:rsidP="00C81B2E">
      <w:pPr>
        <w:pStyle w:val="Puce1"/>
        <w:ind w:left="1134" w:hanging="425"/>
      </w:pPr>
      <w:r>
        <w:t>Les supports de formation en version définitive relatifs à chaque module ;</w:t>
      </w:r>
    </w:p>
    <w:p w14:paraId="7E92150E" w14:textId="77777777" w:rsidR="00C81B2E" w:rsidRDefault="00C81B2E" w:rsidP="00C81B2E">
      <w:pPr>
        <w:pStyle w:val="Puce1"/>
        <w:ind w:left="1134" w:hanging="425"/>
      </w:pPr>
      <w:r>
        <w:t>Le programme actualisé de chaque module de formation ;</w:t>
      </w:r>
    </w:p>
    <w:p w14:paraId="453EB7E4" w14:textId="77777777" w:rsidR="00C81B2E" w:rsidRDefault="00C81B2E" w:rsidP="00C81B2E">
      <w:pPr>
        <w:pStyle w:val="Puce1"/>
        <w:ind w:left="1134" w:hanging="425"/>
      </w:pPr>
      <w:r>
        <w:t>La liste des participants à chaque module de formation ;</w:t>
      </w:r>
    </w:p>
    <w:p w14:paraId="12217EC5" w14:textId="77777777" w:rsidR="00C81B2E" w:rsidRDefault="00C81B2E" w:rsidP="00C81B2E">
      <w:pPr>
        <w:pStyle w:val="Puce1"/>
        <w:ind w:left="1134" w:hanging="425"/>
      </w:pPr>
      <w:r>
        <w:t xml:space="preserve">Un rapport sur le déroulement de la formation comportant un compte rendu de la phase préparatoire ainsi que de la réalisation de la formation ; </w:t>
      </w:r>
    </w:p>
    <w:p w14:paraId="39AB1273" w14:textId="6371F3DE" w:rsidR="00C81B2E" w:rsidRDefault="00C81B2E" w:rsidP="00D834A1">
      <w:pPr>
        <w:pStyle w:val="Puce1"/>
        <w:ind w:left="1134" w:hanging="425"/>
      </w:pPr>
      <w:r>
        <w:t>Les résultats de l’évaluation des acquis de la formation.</w:t>
      </w:r>
    </w:p>
    <w:p w14:paraId="72EF8F81" w14:textId="1B4CF0AE" w:rsidR="00C81B2E" w:rsidRDefault="00C81B2E" w:rsidP="00D834A1">
      <w:pPr>
        <w:pStyle w:val="Titre2"/>
        <w:numPr>
          <w:ilvl w:val="0"/>
          <w:numId w:val="9"/>
        </w:numPr>
      </w:pPr>
      <w:r>
        <w:t>Supervision</w:t>
      </w:r>
    </w:p>
    <w:p w14:paraId="78F36912" w14:textId="25A58196" w:rsidR="00C81B2E" w:rsidRDefault="00C81B2E" w:rsidP="00D834A1">
      <w:pPr>
        <w:ind w:left="0"/>
      </w:pPr>
      <w:r w:rsidRPr="00032B32">
        <w:t>Le consultant sera directement supervisé par l</w:t>
      </w:r>
      <w:r>
        <w:t>’UCP</w:t>
      </w:r>
    </w:p>
    <w:p w14:paraId="48A331E9" w14:textId="76A11BB1" w:rsidR="00C81B2E" w:rsidRPr="00BE779E" w:rsidRDefault="00C81B2E" w:rsidP="00D834A1">
      <w:pPr>
        <w:pStyle w:val="Titre2"/>
        <w:numPr>
          <w:ilvl w:val="0"/>
          <w:numId w:val="9"/>
        </w:numPr>
      </w:pPr>
      <w:r w:rsidRPr="00BE779E">
        <w:t>Durée de la mission</w:t>
      </w:r>
    </w:p>
    <w:p w14:paraId="37BE8053" w14:textId="77777777" w:rsidR="00C81B2E" w:rsidRDefault="00C81B2E" w:rsidP="00C81B2E">
      <w:pPr>
        <w:ind w:left="0"/>
      </w:pPr>
      <w:r w:rsidRPr="005453BD">
        <w:t xml:space="preserve">La présente mission se déroulera sur une durée de </w:t>
      </w:r>
      <w:r>
        <w:t>1</w:t>
      </w:r>
      <w:r w:rsidRPr="005453BD">
        <w:t xml:space="preserve"> semaine à partir de la date de démarrage pour un total de </w:t>
      </w:r>
      <w:r>
        <w:t xml:space="preserve">six </w:t>
      </w:r>
      <w:r w:rsidRPr="005453BD">
        <w:t>(</w:t>
      </w:r>
      <w:r>
        <w:t>6</w:t>
      </w:r>
      <w:r w:rsidRPr="005453BD">
        <w:t>) jours de travail</w:t>
      </w:r>
      <w:r>
        <w:t>, trois dédiés à la définition du contenu des modules de formation e trois aux séances de formation.</w:t>
      </w:r>
    </w:p>
    <w:p w14:paraId="224DD156" w14:textId="5B6DEC66" w:rsidR="00C81B2E" w:rsidRPr="002048A9" w:rsidRDefault="00C81B2E" w:rsidP="00D834A1">
      <w:pPr>
        <w:pStyle w:val="Titre2"/>
        <w:numPr>
          <w:ilvl w:val="0"/>
          <w:numId w:val="9"/>
        </w:numPr>
      </w:pPr>
      <w:r w:rsidRPr="002048A9">
        <w:t>Lieu de prestation</w:t>
      </w:r>
    </w:p>
    <w:p w14:paraId="1E649A46" w14:textId="77777777" w:rsidR="00C81B2E" w:rsidRDefault="00C81B2E" w:rsidP="00C81B2E">
      <w:pPr>
        <w:ind w:left="0"/>
      </w:pPr>
      <w:r w:rsidRPr="00F07255">
        <w:t xml:space="preserve">La mobilisation se fera à </w:t>
      </w:r>
      <w:r>
        <w:t>Nouakchott.</w:t>
      </w:r>
    </w:p>
    <w:p w14:paraId="26CC53B5" w14:textId="38064507" w:rsidR="00E50AB3" w:rsidRDefault="00C81B2E" w:rsidP="00CA2427">
      <w:pPr>
        <w:ind w:left="0"/>
      </w:pPr>
      <w:r>
        <w:t>L’expert travaillera dans les bureaux de l’UCP ou des différentes parties prenantes impliquées dans cette mission. La location de la salle pour les séances de formation sera à la charge de l’UCP</w:t>
      </w:r>
    </w:p>
    <w:sectPr w:rsidR="00E50A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7648F"/>
    <w:multiLevelType w:val="hybridMultilevel"/>
    <w:tmpl w:val="33907A04"/>
    <w:lvl w:ilvl="0" w:tplc="040C0005">
      <w:start w:val="1"/>
      <w:numFmt w:val="bullet"/>
      <w:lvlText w:val=""/>
      <w:lvlJc w:val="left"/>
      <w:pPr>
        <w:ind w:left="2421" w:hanging="360"/>
      </w:pPr>
      <w:rPr>
        <w:rFonts w:ascii="Wingdings" w:hAnsi="Wingdings" w:hint="default"/>
        <w:color w:val="0058A5"/>
        <w:spacing w:val="0"/>
        <w:sz w:val="24"/>
        <w:szCs w:val="24"/>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
    <w:nsid w:val="192F5937"/>
    <w:multiLevelType w:val="hybridMultilevel"/>
    <w:tmpl w:val="B0E6062E"/>
    <w:lvl w:ilvl="0" w:tplc="040C0005">
      <w:start w:val="1"/>
      <w:numFmt w:val="bullet"/>
      <w:lvlText w:val=""/>
      <w:lvlJc w:val="left"/>
      <w:pPr>
        <w:ind w:left="1440" w:hanging="360"/>
      </w:pPr>
      <w:rPr>
        <w:rFonts w:ascii="Wingdings" w:hAnsi="Wingdings" w:hint="default"/>
        <w:color w:val="0058A5"/>
        <w:spacing w:val="0"/>
        <w:sz w:val="24"/>
        <w:szCs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FFB0AEE"/>
    <w:multiLevelType w:val="hybridMultilevel"/>
    <w:tmpl w:val="DD5A5B0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27F93921"/>
    <w:multiLevelType w:val="hybridMultilevel"/>
    <w:tmpl w:val="AEA46BC2"/>
    <w:lvl w:ilvl="0" w:tplc="040C0005">
      <w:start w:val="1"/>
      <w:numFmt w:val="bullet"/>
      <w:lvlText w:val=""/>
      <w:lvlJc w:val="left"/>
      <w:pPr>
        <w:ind w:left="720" w:hanging="360"/>
      </w:pPr>
      <w:rPr>
        <w:rFonts w:ascii="Wingdings" w:hAnsi="Wingdings" w:hint="default"/>
        <w:color w:val="0058A5"/>
        <w:spacing w:val="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6CD752F"/>
    <w:multiLevelType w:val="multilevel"/>
    <w:tmpl w:val="2E781292"/>
    <w:lvl w:ilvl="0">
      <w:start w:val="1"/>
      <w:numFmt w:val="decimal"/>
      <w:pStyle w:val="Titre1"/>
      <w:lvlText w:val="%1"/>
      <w:lvlJc w:val="left"/>
      <w:pPr>
        <w:ind w:left="1701" w:hanging="1021"/>
      </w:pPr>
      <w:rPr>
        <w:rFonts w:ascii="Arial" w:hAnsi="Arial" w:cs="Times New Roman" w:hint="default"/>
        <w:color w:val="0058A5"/>
        <w:sz w:val="52"/>
        <w:szCs w:val="52"/>
      </w:rPr>
    </w:lvl>
    <w:lvl w:ilvl="1">
      <w:start w:val="1"/>
      <w:numFmt w:val="decimal"/>
      <w:pStyle w:val="Titre2"/>
      <w:lvlText w:val="%1.%2"/>
      <w:lvlJc w:val="left"/>
      <w:pPr>
        <w:ind w:left="1701" w:hanging="1021"/>
      </w:pPr>
      <w:rPr>
        <w:rFonts w:ascii="Arial Gras" w:hAnsi="Arial Gras" w:hint="default"/>
        <w:b/>
        <w:bCs w:val="0"/>
        <w:i w:val="0"/>
        <w:iCs w:val="0"/>
        <w:caps w:val="0"/>
        <w:smallCaps w:val="0"/>
        <w:strike w:val="0"/>
        <w:dstrike w:val="0"/>
        <w:noProof w:val="0"/>
        <w:vanish w:val="0"/>
        <w:color w:val="0058A5"/>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701" w:hanging="1021"/>
      </w:pPr>
      <w:rPr>
        <w:rFonts w:ascii="Arial" w:hAnsi="Arial" w:cs="Times New Roman" w:hint="default"/>
        <w:color w:val="auto"/>
        <w:sz w:val="24"/>
      </w:rPr>
    </w:lvl>
    <w:lvl w:ilvl="3">
      <w:start w:val="1"/>
      <w:numFmt w:val="decimal"/>
      <w:pStyle w:val="Titre4"/>
      <w:lvlText w:val="%1.%2.%3.%4"/>
      <w:lvlJc w:val="left"/>
      <w:pPr>
        <w:tabs>
          <w:tab w:val="num" w:pos="710"/>
        </w:tabs>
        <w:ind w:left="1701" w:hanging="1021"/>
      </w:pPr>
      <w:rPr>
        <w:rFonts w:ascii="Arial Gras" w:hAnsi="Arial Gras" w:cs="Times New Roman" w:hint="default"/>
        <w:b/>
        <w:i w:val="0"/>
        <w:color w:val="0058A5"/>
        <w:sz w:val="20"/>
      </w:rPr>
    </w:lvl>
    <w:lvl w:ilvl="4">
      <w:start w:val="1"/>
      <w:numFmt w:val="decimal"/>
      <w:lvlText w:val="%1.%2.%3.%4.%5"/>
      <w:lvlJc w:val="left"/>
      <w:pPr>
        <w:tabs>
          <w:tab w:val="num" w:pos="710"/>
        </w:tabs>
        <w:ind w:left="1701" w:hanging="1021"/>
      </w:pPr>
      <w:rPr>
        <w:rFonts w:cs="Times New Roman" w:hint="default"/>
      </w:rPr>
    </w:lvl>
    <w:lvl w:ilvl="5">
      <w:start w:val="1"/>
      <w:numFmt w:val="decimal"/>
      <w:lvlText w:val="%1.%2.%3.%4.%5.%6"/>
      <w:lvlJc w:val="left"/>
      <w:pPr>
        <w:tabs>
          <w:tab w:val="num" w:pos="710"/>
        </w:tabs>
        <w:ind w:left="1701" w:hanging="1021"/>
      </w:pPr>
      <w:rPr>
        <w:rFonts w:cs="Times New Roman" w:hint="default"/>
      </w:rPr>
    </w:lvl>
    <w:lvl w:ilvl="6">
      <w:start w:val="1"/>
      <w:numFmt w:val="decimal"/>
      <w:pStyle w:val="Titre7"/>
      <w:lvlText w:val="%1.%2.%3.%4.%5.%6.%7"/>
      <w:lvlJc w:val="left"/>
      <w:pPr>
        <w:tabs>
          <w:tab w:val="num" w:pos="710"/>
        </w:tabs>
        <w:ind w:left="1701" w:hanging="1021"/>
      </w:pPr>
      <w:rPr>
        <w:rFonts w:cs="Times New Roman" w:hint="default"/>
      </w:rPr>
    </w:lvl>
    <w:lvl w:ilvl="7">
      <w:start w:val="1"/>
      <w:numFmt w:val="decimal"/>
      <w:pStyle w:val="Titre8"/>
      <w:lvlText w:val="%1.%2.%3.%4.%5.%6.%7.%8"/>
      <w:lvlJc w:val="left"/>
      <w:pPr>
        <w:tabs>
          <w:tab w:val="num" w:pos="710"/>
        </w:tabs>
        <w:ind w:left="1701" w:hanging="1021"/>
      </w:pPr>
      <w:rPr>
        <w:rFonts w:cs="Times New Roman" w:hint="default"/>
      </w:rPr>
    </w:lvl>
    <w:lvl w:ilvl="8">
      <w:start w:val="1"/>
      <w:numFmt w:val="decimal"/>
      <w:pStyle w:val="Titre9"/>
      <w:lvlText w:val="%1.%2.%3.%4.%5.%6.%7.%8.%9"/>
      <w:lvlJc w:val="left"/>
      <w:pPr>
        <w:tabs>
          <w:tab w:val="num" w:pos="710"/>
        </w:tabs>
        <w:ind w:left="1701" w:hanging="1021"/>
      </w:pPr>
      <w:rPr>
        <w:rFonts w:cs="Times New Roman" w:hint="default"/>
      </w:rPr>
    </w:lvl>
  </w:abstractNum>
  <w:abstractNum w:abstractNumId="5">
    <w:nsid w:val="48372D7D"/>
    <w:multiLevelType w:val="hybridMultilevel"/>
    <w:tmpl w:val="C404663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55F27DF5"/>
    <w:multiLevelType w:val="hybridMultilevel"/>
    <w:tmpl w:val="18CA6D44"/>
    <w:lvl w:ilvl="0" w:tplc="262A81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A900D0"/>
    <w:multiLevelType w:val="hybridMultilevel"/>
    <w:tmpl w:val="CE46134C"/>
    <w:lvl w:ilvl="0" w:tplc="1E446F3C">
      <w:start w:val="1"/>
      <w:numFmt w:val="bullet"/>
      <w:pStyle w:val="Puce1"/>
      <w:lvlText w:val=""/>
      <w:lvlJc w:val="left"/>
      <w:pPr>
        <w:ind w:left="2061" w:hanging="360"/>
      </w:pPr>
      <w:rPr>
        <w:rFonts w:ascii="Wingdings" w:hAnsi="Wingdings" w:hint="default"/>
        <w:color w:val="0058A5"/>
        <w:spacing w:val="0"/>
        <w:sz w:val="24"/>
        <w:szCs w:val="24"/>
      </w:rPr>
    </w:lvl>
    <w:lvl w:ilvl="1" w:tplc="25EAF9C8">
      <w:start w:val="1"/>
      <w:numFmt w:val="bullet"/>
      <w:lvlText w:val=""/>
      <w:lvlJc w:val="left"/>
      <w:pPr>
        <w:ind w:left="2781" w:hanging="360"/>
      </w:pPr>
      <w:rPr>
        <w:rFonts w:ascii="Wingdings" w:hAnsi="Wingdings" w:hint="default"/>
        <w:spacing w:val="0"/>
        <w:w w:val="100"/>
        <w:sz w:val="24"/>
        <w:vertAlign w:val="baseline"/>
      </w:rPr>
    </w:lvl>
    <w:lvl w:ilvl="2" w:tplc="0AE4433A">
      <w:start w:val="1"/>
      <w:numFmt w:val="bullet"/>
      <w:lvlText w:val=""/>
      <w:lvlJc w:val="left"/>
      <w:pPr>
        <w:ind w:left="3501" w:hanging="360"/>
      </w:pPr>
      <w:rPr>
        <w:rFonts w:ascii="Symbol" w:hAnsi="Symbol"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8">
    <w:nsid w:val="69BD4441"/>
    <w:multiLevelType w:val="hybridMultilevel"/>
    <w:tmpl w:val="794272DC"/>
    <w:lvl w:ilvl="0" w:tplc="811A60F8">
      <w:start w:val="1"/>
      <w:numFmt w:val="decimal"/>
      <w:lvlText w:val="%1."/>
      <w:lvlJc w:val="left"/>
      <w:pPr>
        <w:ind w:left="2061" w:hanging="360"/>
      </w:pPr>
      <w:rPr>
        <w:rFonts w:hint="default"/>
      </w:rPr>
    </w:lvl>
    <w:lvl w:ilvl="1" w:tplc="040C0019">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9">
    <w:nsid w:val="717F586E"/>
    <w:multiLevelType w:val="hybridMultilevel"/>
    <w:tmpl w:val="5544A58E"/>
    <w:lvl w:ilvl="0" w:tplc="B706F0C8">
      <w:start w:val="1"/>
      <w:numFmt w:val="bullet"/>
      <w:pStyle w:val="Paragraphedeliste"/>
      <w:lvlText w:val=""/>
      <w:lvlJc w:val="left"/>
      <w:pPr>
        <w:ind w:left="2421" w:hanging="360"/>
      </w:pPr>
      <w:rPr>
        <w:rFonts w:ascii="Symbol" w:hAnsi="Symbol" w:hint="default"/>
      </w:rPr>
    </w:lvl>
    <w:lvl w:ilvl="1" w:tplc="040C0003">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num w:numId="1">
    <w:abstractNumId w:val="4"/>
  </w:num>
  <w:num w:numId="2">
    <w:abstractNumId w:val="7"/>
  </w:num>
  <w:num w:numId="3">
    <w:abstractNumId w:val="9"/>
  </w:num>
  <w:num w:numId="4">
    <w:abstractNumId w:val="3"/>
  </w:num>
  <w:num w:numId="5">
    <w:abstractNumId w:val="6"/>
  </w:num>
  <w:num w:numId="6">
    <w:abstractNumId w:val="2"/>
  </w:num>
  <w:num w:numId="7">
    <w:abstractNumId w:val="0"/>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B2E"/>
    <w:rsid w:val="00021B34"/>
    <w:rsid w:val="00070140"/>
    <w:rsid w:val="003F07C4"/>
    <w:rsid w:val="00551275"/>
    <w:rsid w:val="007D0946"/>
    <w:rsid w:val="007E4535"/>
    <w:rsid w:val="0085104D"/>
    <w:rsid w:val="008E369F"/>
    <w:rsid w:val="009C6A78"/>
    <w:rsid w:val="009D7398"/>
    <w:rsid w:val="00A60A90"/>
    <w:rsid w:val="00A672A5"/>
    <w:rsid w:val="00C81B2E"/>
    <w:rsid w:val="00C81BB4"/>
    <w:rsid w:val="00CA2427"/>
    <w:rsid w:val="00D834A1"/>
    <w:rsid w:val="00E50A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EF44"/>
  <w15:chartTrackingRefBased/>
  <w15:docId w15:val="{D297258A-E188-4D42-AA20-876FF3CA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B2E"/>
    <w:pPr>
      <w:spacing w:before="120" w:after="120" w:line="288" w:lineRule="auto"/>
      <w:ind w:left="1701"/>
      <w:jc w:val="both"/>
    </w:pPr>
    <w:rPr>
      <w:rFonts w:ascii="Arial" w:hAnsi="Arial" w:cstheme="minorHAnsi"/>
      <w:kern w:val="0"/>
      <w:sz w:val="20"/>
      <w:szCs w:val="20"/>
      <w14:ligatures w14:val="none"/>
    </w:rPr>
  </w:style>
  <w:style w:type="paragraph" w:styleId="Titre1">
    <w:name w:val="heading 1"/>
    <w:basedOn w:val="Normal"/>
    <w:next w:val="Titre2"/>
    <w:link w:val="Titre1Car"/>
    <w:qFormat/>
    <w:rsid w:val="00C81B2E"/>
    <w:pPr>
      <w:keepNext/>
      <w:keepLines/>
      <w:numPr>
        <w:numId w:val="1"/>
      </w:numPr>
      <w:pBdr>
        <w:bottom w:val="single" w:sz="4" w:space="1" w:color="auto"/>
      </w:pBdr>
      <w:suppressAutoHyphens/>
      <w:spacing w:before="3000" w:after="1000" w:line="240" w:lineRule="auto"/>
      <w:ind w:left="1702" w:hanging="851"/>
      <w:contextualSpacing/>
      <w:jc w:val="right"/>
      <w:outlineLvl w:val="0"/>
    </w:pPr>
    <w:rPr>
      <w:rFonts w:eastAsia="Times New Roman" w:cs="Times New Roman"/>
      <w:caps/>
      <w:color w:val="0058A5"/>
      <w:sz w:val="52"/>
      <w:szCs w:val="32"/>
    </w:rPr>
  </w:style>
  <w:style w:type="paragraph" w:styleId="Titre2">
    <w:name w:val="heading 2"/>
    <w:basedOn w:val="Titre1"/>
    <w:next w:val="Titre3"/>
    <w:link w:val="Titre2Car"/>
    <w:autoRedefine/>
    <w:qFormat/>
    <w:rsid w:val="00C81B2E"/>
    <w:pPr>
      <w:numPr>
        <w:ilvl w:val="1"/>
      </w:numPr>
      <w:pBdr>
        <w:bottom w:val="none" w:sz="0" w:space="0" w:color="auto"/>
      </w:pBdr>
      <w:spacing w:before="240" w:after="200"/>
      <w:jc w:val="left"/>
      <w:outlineLvl w:val="1"/>
    </w:pPr>
    <w:rPr>
      <w:b/>
      <w:caps w:val="0"/>
      <w:sz w:val="28"/>
      <w:szCs w:val="28"/>
    </w:rPr>
  </w:style>
  <w:style w:type="paragraph" w:styleId="Titre3">
    <w:name w:val="heading 3"/>
    <w:basedOn w:val="Titre2"/>
    <w:next w:val="Titre4"/>
    <w:link w:val="Titre3Car"/>
    <w:qFormat/>
    <w:rsid w:val="00C81B2E"/>
    <w:pPr>
      <w:numPr>
        <w:ilvl w:val="2"/>
      </w:numPr>
      <w:spacing w:before="200" w:after="160"/>
      <w:outlineLvl w:val="2"/>
    </w:pPr>
    <w:rPr>
      <w:color w:val="auto"/>
      <w:sz w:val="24"/>
      <w:szCs w:val="24"/>
    </w:rPr>
  </w:style>
  <w:style w:type="paragraph" w:styleId="Titre4">
    <w:name w:val="heading 4"/>
    <w:basedOn w:val="Titre3"/>
    <w:next w:val="Normal"/>
    <w:link w:val="Titre4Car"/>
    <w:qFormat/>
    <w:rsid w:val="00C81B2E"/>
    <w:pPr>
      <w:numPr>
        <w:ilvl w:val="3"/>
      </w:numPr>
      <w:ind w:left="1702" w:right="709" w:hanging="851"/>
      <w:outlineLvl w:val="3"/>
    </w:pPr>
    <w:rPr>
      <w:bCs/>
      <w:color w:val="0058A5"/>
      <w:sz w:val="20"/>
    </w:rPr>
  </w:style>
  <w:style w:type="paragraph" w:styleId="Titre7">
    <w:name w:val="heading 7"/>
    <w:basedOn w:val="Normal"/>
    <w:next w:val="Normal"/>
    <w:link w:val="Titre7Car"/>
    <w:semiHidden/>
    <w:qFormat/>
    <w:rsid w:val="00C81B2E"/>
    <w:pPr>
      <w:numPr>
        <w:ilvl w:val="6"/>
        <w:numId w:val="1"/>
      </w:numPr>
      <w:pBdr>
        <w:bottom w:val="dotted" w:sz="8" w:space="1" w:color="938953"/>
      </w:pBdr>
      <w:tabs>
        <w:tab w:val="clear" w:pos="710"/>
        <w:tab w:val="num" w:pos="360"/>
      </w:tabs>
      <w:spacing w:before="200" w:after="100" w:line="240" w:lineRule="auto"/>
      <w:ind w:firstLine="0"/>
      <w:contextualSpacing/>
      <w:outlineLvl w:val="6"/>
    </w:pPr>
    <w:rPr>
      <w:rFonts w:ascii="Cambria" w:eastAsia="Times New Roman" w:hAnsi="Cambria" w:cs="Times New Roman"/>
      <w:b/>
      <w:bCs/>
      <w:smallCaps/>
      <w:color w:val="938953"/>
      <w:spacing w:val="20"/>
      <w:sz w:val="16"/>
      <w:szCs w:val="16"/>
    </w:rPr>
  </w:style>
  <w:style w:type="paragraph" w:styleId="Titre8">
    <w:name w:val="heading 8"/>
    <w:basedOn w:val="Normal"/>
    <w:next w:val="Normal"/>
    <w:link w:val="Titre8Car"/>
    <w:semiHidden/>
    <w:qFormat/>
    <w:rsid w:val="00C81B2E"/>
    <w:pPr>
      <w:numPr>
        <w:ilvl w:val="7"/>
        <w:numId w:val="1"/>
      </w:numPr>
      <w:tabs>
        <w:tab w:val="clear" w:pos="710"/>
        <w:tab w:val="num" w:pos="360"/>
      </w:tabs>
      <w:spacing w:before="200" w:after="60" w:line="240" w:lineRule="auto"/>
      <w:ind w:firstLine="0"/>
      <w:contextualSpacing/>
      <w:outlineLvl w:val="7"/>
    </w:pPr>
    <w:rPr>
      <w:rFonts w:ascii="Cambria" w:eastAsia="Times New Roman" w:hAnsi="Cambria" w:cs="Times New Roman"/>
      <w:b/>
      <w:smallCaps/>
      <w:color w:val="938953"/>
      <w:spacing w:val="20"/>
      <w:sz w:val="16"/>
      <w:szCs w:val="16"/>
    </w:rPr>
  </w:style>
  <w:style w:type="paragraph" w:styleId="Titre9">
    <w:name w:val="heading 9"/>
    <w:basedOn w:val="Normal"/>
    <w:next w:val="Normal"/>
    <w:link w:val="Titre9Car"/>
    <w:semiHidden/>
    <w:qFormat/>
    <w:rsid w:val="00C81B2E"/>
    <w:pPr>
      <w:numPr>
        <w:ilvl w:val="8"/>
        <w:numId w:val="1"/>
      </w:numPr>
      <w:tabs>
        <w:tab w:val="clear" w:pos="710"/>
        <w:tab w:val="num" w:pos="360"/>
      </w:tabs>
      <w:spacing w:before="200" w:after="60" w:line="240" w:lineRule="auto"/>
      <w:ind w:firstLine="0"/>
      <w:contextualSpacing/>
      <w:outlineLvl w:val="8"/>
    </w:pPr>
    <w:rPr>
      <w:rFonts w:ascii="Cambria" w:eastAsia="Times New Roman" w:hAnsi="Cambria" w:cs="Times New Roman"/>
      <w:smallCaps/>
      <w:color w:val="938953"/>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81B2E"/>
    <w:rPr>
      <w:rFonts w:ascii="Arial" w:eastAsia="Times New Roman" w:hAnsi="Arial" w:cs="Times New Roman"/>
      <w:caps/>
      <w:color w:val="0058A5"/>
      <w:kern w:val="0"/>
      <w:sz w:val="52"/>
      <w:szCs w:val="32"/>
      <w14:ligatures w14:val="none"/>
    </w:rPr>
  </w:style>
  <w:style w:type="character" w:customStyle="1" w:styleId="Titre2Car">
    <w:name w:val="Titre 2 Car"/>
    <w:basedOn w:val="Policepardfaut"/>
    <w:link w:val="Titre2"/>
    <w:rsid w:val="00C81B2E"/>
    <w:rPr>
      <w:rFonts w:ascii="Arial" w:eastAsia="Times New Roman" w:hAnsi="Arial" w:cs="Times New Roman"/>
      <w:b/>
      <w:color w:val="0058A5"/>
      <w:kern w:val="0"/>
      <w:sz w:val="28"/>
      <w:szCs w:val="28"/>
      <w14:ligatures w14:val="none"/>
    </w:rPr>
  </w:style>
  <w:style w:type="character" w:customStyle="1" w:styleId="Titre3Car">
    <w:name w:val="Titre 3 Car"/>
    <w:basedOn w:val="Policepardfaut"/>
    <w:link w:val="Titre3"/>
    <w:rsid w:val="00C81B2E"/>
    <w:rPr>
      <w:rFonts w:ascii="Arial" w:eastAsia="Times New Roman" w:hAnsi="Arial" w:cs="Times New Roman"/>
      <w:b/>
      <w:kern w:val="0"/>
      <w:sz w:val="24"/>
      <w:szCs w:val="24"/>
      <w14:ligatures w14:val="none"/>
    </w:rPr>
  </w:style>
  <w:style w:type="character" w:customStyle="1" w:styleId="Titre4Car">
    <w:name w:val="Titre 4 Car"/>
    <w:basedOn w:val="Policepardfaut"/>
    <w:link w:val="Titre4"/>
    <w:rsid w:val="00C81B2E"/>
    <w:rPr>
      <w:rFonts w:ascii="Arial" w:eastAsia="Times New Roman" w:hAnsi="Arial" w:cs="Times New Roman"/>
      <w:b/>
      <w:bCs/>
      <w:color w:val="0058A5"/>
      <w:kern w:val="0"/>
      <w:sz w:val="20"/>
      <w:szCs w:val="24"/>
      <w14:ligatures w14:val="none"/>
    </w:rPr>
  </w:style>
  <w:style w:type="character" w:customStyle="1" w:styleId="Titre7Car">
    <w:name w:val="Titre 7 Car"/>
    <w:basedOn w:val="Policepardfaut"/>
    <w:link w:val="Titre7"/>
    <w:semiHidden/>
    <w:rsid w:val="00C81B2E"/>
    <w:rPr>
      <w:rFonts w:ascii="Cambria" w:eastAsia="Times New Roman" w:hAnsi="Cambria" w:cs="Times New Roman"/>
      <w:b/>
      <w:bCs/>
      <w:smallCaps/>
      <w:color w:val="938953"/>
      <w:spacing w:val="20"/>
      <w:kern w:val="0"/>
      <w:sz w:val="16"/>
      <w:szCs w:val="16"/>
      <w14:ligatures w14:val="none"/>
    </w:rPr>
  </w:style>
  <w:style w:type="character" w:customStyle="1" w:styleId="Titre8Car">
    <w:name w:val="Titre 8 Car"/>
    <w:basedOn w:val="Policepardfaut"/>
    <w:link w:val="Titre8"/>
    <w:semiHidden/>
    <w:rsid w:val="00C81B2E"/>
    <w:rPr>
      <w:rFonts w:ascii="Cambria" w:eastAsia="Times New Roman" w:hAnsi="Cambria" w:cs="Times New Roman"/>
      <w:b/>
      <w:smallCaps/>
      <w:color w:val="938953"/>
      <w:spacing w:val="20"/>
      <w:kern w:val="0"/>
      <w:sz w:val="16"/>
      <w:szCs w:val="16"/>
      <w14:ligatures w14:val="none"/>
    </w:rPr>
  </w:style>
  <w:style w:type="character" w:customStyle="1" w:styleId="Titre9Car">
    <w:name w:val="Titre 9 Car"/>
    <w:basedOn w:val="Policepardfaut"/>
    <w:link w:val="Titre9"/>
    <w:semiHidden/>
    <w:rsid w:val="00C81B2E"/>
    <w:rPr>
      <w:rFonts w:ascii="Cambria" w:eastAsia="Times New Roman" w:hAnsi="Cambria" w:cs="Times New Roman"/>
      <w:smallCaps/>
      <w:color w:val="938953"/>
      <w:spacing w:val="20"/>
      <w:kern w:val="0"/>
      <w:sz w:val="16"/>
      <w:szCs w:val="16"/>
      <w14:ligatures w14:val="none"/>
    </w:rPr>
  </w:style>
  <w:style w:type="paragraph" w:customStyle="1" w:styleId="Puce1">
    <w:name w:val="Puce 1"/>
    <w:basedOn w:val="Normal"/>
    <w:qFormat/>
    <w:rsid w:val="00C81B2E"/>
    <w:pPr>
      <w:numPr>
        <w:numId w:val="2"/>
      </w:numPr>
      <w:spacing w:before="60" w:after="60"/>
    </w:pPr>
    <w:rPr>
      <w:rFonts w:eastAsia="Times New Roman" w:cs="Times New Roman"/>
      <w:lang w:bidi="en-US"/>
    </w:rPr>
  </w:style>
  <w:style w:type="paragraph" w:styleId="Paragraphedeliste">
    <w:name w:val="List Paragraph"/>
    <w:aliases w:val="Numbered paragraph,List Paragraph-ExecSummary,References,Bullets,Paragraphe de liste1,List Paragraph (numbered (a)),Citation List,본문(내용),Colorful List - Accent 11,Colorful List - Accent 11CxSpLast,- List tir,liste 1,puce 1,Puces,3,r2"/>
    <w:basedOn w:val="Normal"/>
    <w:link w:val="ParagraphedelisteCar"/>
    <w:uiPriority w:val="99"/>
    <w:qFormat/>
    <w:rsid w:val="00C81B2E"/>
    <w:pPr>
      <w:numPr>
        <w:numId w:val="3"/>
      </w:numPr>
      <w:contextualSpacing/>
    </w:pPr>
  </w:style>
  <w:style w:type="character" w:customStyle="1" w:styleId="ParagraphedelisteCar">
    <w:name w:val="Paragraphe de liste Car"/>
    <w:aliases w:val="Numbered paragraph Car,List Paragraph-ExecSummary Car,References Car,Bullets Car,Paragraphe de liste1 Car,List Paragraph (numbered (a)) Car,Citation List Car,본문(내용) Car,Colorful List - Accent 11 Car,- List tir Car,liste 1 Car"/>
    <w:link w:val="Paragraphedeliste"/>
    <w:uiPriority w:val="99"/>
    <w:qFormat/>
    <w:rsid w:val="00C81B2E"/>
    <w:rPr>
      <w:rFonts w:ascii="Arial" w:hAnsi="Arial" w:cstheme="minorHAns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5583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Taleb Mohamed Moctar</dc:creator>
  <cp:keywords/>
  <dc:description/>
  <cp:lastModifiedBy>Utilisateur Windows</cp:lastModifiedBy>
  <cp:revision>2</cp:revision>
  <dcterms:created xsi:type="dcterms:W3CDTF">2023-10-12T10:43:00Z</dcterms:created>
  <dcterms:modified xsi:type="dcterms:W3CDTF">2023-10-12T10:43:00Z</dcterms:modified>
</cp:coreProperties>
</file>