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2"/>
      </w:tblGrid>
      <w:tr w:rsidR="007E3AD9" w:rsidRPr="00D62677" w14:paraId="095354C6" w14:textId="77777777" w:rsidTr="00CB3EBB">
        <w:trPr>
          <w:trHeight w:val="1070"/>
        </w:trPr>
        <w:tc>
          <w:tcPr>
            <w:tcW w:w="9492" w:type="dxa"/>
            <w:shd w:val="clear" w:color="auto" w:fill="auto"/>
          </w:tcPr>
          <w:p w14:paraId="18337670" w14:textId="7264C96F" w:rsidR="00F00A07" w:rsidRPr="00D62677" w:rsidRDefault="00F00A07" w:rsidP="00073FAD">
            <w:pPr>
              <w:pStyle w:val="Titre1"/>
              <w:tabs>
                <w:tab w:val="left" w:pos="851"/>
                <w:tab w:val="left" w:pos="1418"/>
                <w:tab w:val="left" w:pos="1985"/>
                <w:tab w:val="left" w:pos="2552"/>
              </w:tabs>
              <w:spacing w:after="240" w:line="240" w:lineRule="auto"/>
              <w:jc w:val="center"/>
              <w:rPr>
                <w:rFonts w:ascii="Times New Roman" w:hAnsi="Times New Roman" w:cs="Times New Roman"/>
                <w:b/>
                <w:sz w:val="24"/>
                <w:szCs w:val="24"/>
              </w:rPr>
            </w:pPr>
            <w:bookmarkStart w:id="0" w:name="_GoBack"/>
            <w:bookmarkEnd w:id="0"/>
            <w:r w:rsidRPr="00D62677">
              <w:rPr>
                <w:rFonts w:ascii="Times New Roman" w:hAnsi="Times New Roman" w:cs="Times New Roman"/>
              </w:rPr>
              <w:br w:type="page"/>
            </w:r>
            <w:bookmarkStart w:id="1" w:name="_Toc13816758"/>
            <w:bookmarkStart w:id="2" w:name="_Toc132023885"/>
            <w:r w:rsidRPr="00D62677">
              <w:rPr>
                <w:rFonts w:ascii="Times New Roman" w:hAnsi="Times New Roman" w:cs="Times New Roman"/>
                <w:b/>
                <w:color w:val="000000" w:themeColor="text1"/>
                <w:sz w:val="24"/>
                <w:szCs w:val="24"/>
              </w:rPr>
              <w:t xml:space="preserve">TERMES DE RÉFÉRENCE POUR </w:t>
            </w:r>
            <w:r w:rsidR="00073FAD">
              <w:rPr>
                <w:rFonts w:ascii="Times New Roman" w:hAnsi="Times New Roman" w:cs="Times New Roman"/>
                <w:b/>
                <w:color w:val="000000" w:themeColor="text1"/>
                <w:sz w:val="24"/>
                <w:szCs w:val="24"/>
              </w:rPr>
              <w:t xml:space="preserve">LE RECRUTEMENT D’UN </w:t>
            </w:r>
            <w:r w:rsidR="003634BC">
              <w:rPr>
                <w:rFonts w:ascii="Times New Roman" w:hAnsi="Times New Roman" w:cs="Times New Roman"/>
                <w:b/>
                <w:color w:val="000000" w:themeColor="text1"/>
                <w:sz w:val="24"/>
                <w:szCs w:val="24"/>
              </w:rPr>
              <w:t>CABINET</w:t>
            </w:r>
            <w:r w:rsidR="00073FAD">
              <w:rPr>
                <w:rFonts w:ascii="Times New Roman" w:hAnsi="Times New Roman" w:cs="Times New Roman"/>
                <w:b/>
                <w:color w:val="000000" w:themeColor="text1"/>
                <w:sz w:val="24"/>
                <w:szCs w:val="24"/>
              </w:rPr>
              <w:t xml:space="preserve"> POUR LA REALISATION DE </w:t>
            </w:r>
            <w:r w:rsidR="008A4DB2" w:rsidRPr="00D62677">
              <w:rPr>
                <w:rFonts w:ascii="Times New Roman" w:hAnsi="Times New Roman" w:cs="Times New Roman"/>
                <w:b/>
                <w:color w:val="000000" w:themeColor="text1"/>
                <w:sz w:val="24"/>
                <w:szCs w:val="24"/>
              </w:rPr>
              <w:t>L</w:t>
            </w:r>
            <w:r w:rsidR="001A5F5F" w:rsidRPr="00D62677">
              <w:rPr>
                <w:rFonts w:ascii="Times New Roman" w:hAnsi="Times New Roman" w:cs="Times New Roman"/>
                <w:b/>
                <w:color w:val="000000" w:themeColor="text1"/>
                <w:sz w:val="24"/>
                <w:szCs w:val="24"/>
              </w:rPr>
              <w:t>’</w:t>
            </w:r>
            <w:r w:rsidR="00073FAD">
              <w:rPr>
                <w:rFonts w:ascii="Times New Roman" w:hAnsi="Times New Roman" w:cs="Times New Roman"/>
                <w:b/>
                <w:color w:val="000000" w:themeColor="text1"/>
                <w:sz w:val="24"/>
                <w:szCs w:val="24"/>
              </w:rPr>
              <w:t>AUDIT DES</w:t>
            </w:r>
            <w:r w:rsidR="00C370D7">
              <w:rPr>
                <w:rFonts w:ascii="Times New Roman" w:hAnsi="Times New Roman" w:cs="Times New Roman"/>
                <w:b/>
                <w:color w:val="000000" w:themeColor="text1"/>
                <w:sz w:val="24"/>
                <w:szCs w:val="24"/>
              </w:rPr>
              <w:t xml:space="preserve"> COMPTE</w:t>
            </w:r>
            <w:r w:rsidR="00073FAD">
              <w:rPr>
                <w:rFonts w:ascii="Times New Roman" w:hAnsi="Times New Roman" w:cs="Times New Roman"/>
                <w:b/>
                <w:color w:val="000000" w:themeColor="text1"/>
                <w:sz w:val="24"/>
                <w:szCs w:val="24"/>
              </w:rPr>
              <w:t>S DU PAUVIR-</w:t>
            </w:r>
            <w:r w:rsidR="00C370D7">
              <w:rPr>
                <w:rFonts w:ascii="Times New Roman" w:hAnsi="Times New Roman" w:cs="Times New Roman"/>
                <w:b/>
                <w:color w:val="000000" w:themeColor="text1"/>
                <w:sz w:val="24"/>
                <w:szCs w:val="24"/>
              </w:rPr>
              <w:t xml:space="preserve">TV </w:t>
            </w:r>
            <w:bookmarkEnd w:id="1"/>
            <w:bookmarkEnd w:id="2"/>
          </w:p>
        </w:tc>
      </w:tr>
    </w:tbl>
    <w:p w14:paraId="1B4EF51F" w14:textId="3568CA83" w:rsidR="00FE4422" w:rsidRPr="00D62677" w:rsidRDefault="00F00A07" w:rsidP="00DB75E6">
      <w:pPr>
        <w:pStyle w:val="Titre1"/>
        <w:numPr>
          <w:ilvl w:val="0"/>
          <w:numId w:val="9"/>
        </w:numPr>
      </w:pPr>
      <w:bookmarkStart w:id="3" w:name="_Toc13816759"/>
      <w:bookmarkStart w:id="4" w:name="_Toc132023886"/>
      <w:r w:rsidRPr="00D62677">
        <w:t>CONTEXTE</w:t>
      </w:r>
      <w:bookmarkEnd w:id="3"/>
      <w:bookmarkEnd w:id="4"/>
    </w:p>
    <w:p w14:paraId="2A21FBF7" w14:textId="658F336A" w:rsidR="00DB75E6" w:rsidRDefault="00DB75E6" w:rsidP="00C5428E">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DB75E6">
        <w:rPr>
          <w:rFonts w:ascii="Times New Roman" w:hAnsi="Times New Roman"/>
          <w:color w:val="000000" w:themeColor="text1"/>
        </w:rPr>
        <w:t>1.1   Le Groupe de la Banque africaine de développement (la Banque) appuie le Gouvernement Mauritanien dans ses efforts de développement depuis 1974. Un don 1 millions $ a ét</w:t>
      </w:r>
      <w:r w:rsidR="002B2577">
        <w:rPr>
          <w:rFonts w:ascii="Times New Roman" w:hAnsi="Times New Roman"/>
          <w:color w:val="000000" w:themeColor="text1"/>
        </w:rPr>
        <w:t xml:space="preserve">é approuvé en 04 Novembre 2022 </w:t>
      </w:r>
      <w:r w:rsidRPr="00DB75E6">
        <w:rPr>
          <w:rFonts w:ascii="Times New Roman" w:hAnsi="Times New Roman"/>
          <w:color w:val="000000" w:themeColor="text1"/>
        </w:rPr>
        <w:t>pour financer PAUVIR/TV).</w:t>
      </w:r>
    </w:p>
    <w:p w14:paraId="0E2E70AC" w14:textId="4B73877F" w:rsidR="002273C5" w:rsidRPr="00C5428E" w:rsidRDefault="00E02A7B" w:rsidP="00C5428E">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C5428E">
        <w:rPr>
          <w:rFonts w:ascii="Times New Roman" w:hAnsi="Times New Roman"/>
          <w:color w:val="000000" w:themeColor="text1"/>
        </w:rPr>
        <w:t xml:space="preserve">1.2 </w:t>
      </w:r>
      <w:r w:rsidR="00D62677" w:rsidRPr="00C5428E">
        <w:rPr>
          <w:rFonts w:ascii="Times New Roman" w:hAnsi="Times New Roman"/>
          <w:color w:val="000000" w:themeColor="text1"/>
        </w:rPr>
        <w:tab/>
      </w:r>
      <w:r w:rsidR="002273C5" w:rsidRPr="00C5428E">
        <w:rPr>
          <w:rFonts w:ascii="Times New Roman" w:hAnsi="Times New Roman"/>
          <w:b/>
          <w:color w:val="000000" w:themeColor="text1"/>
        </w:rPr>
        <w:t>L’objectif global</w:t>
      </w:r>
      <w:r w:rsidR="002273C5" w:rsidRPr="00C5428E">
        <w:rPr>
          <w:rFonts w:ascii="Times New Roman" w:hAnsi="Times New Roman"/>
          <w:color w:val="000000" w:themeColor="text1"/>
        </w:rPr>
        <w:t xml:space="preserve"> du Projet PAUVIR/TV est de venir en aide d’urgence aux sinistrées des récentes inondations, afin de contribuer à couvrir les besoins immédiats en intrants des ménages les plus vulnérables et </w:t>
      </w:r>
      <w:r w:rsidR="00F669FE">
        <w:rPr>
          <w:rFonts w:ascii="Times New Roman" w:hAnsi="Times New Roman"/>
          <w:color w:val="000000" w:themeColor="text1"/>
        </w:rPr>
        <w:t xml:space="preserve">permettre </w:t>
      </w:r>
      <w:r w:rsidR="002273C5" w:rsidRPr="00C5428E">
        <w:rPr>
          <w:rFonts w:ascii="Times New Roman" w:hAnsi="Times New Roman"/>
          <w:color w:val="000000" w:themeColor="text1"/>
        </w:rPr>
        <w:t>ainsi de renforcer la résilience alimentaire et économique de ces ménages et de relancer rapidement la production</w:t>
      </w:r>
      <w:r w:rsidR="002273C5" w:rsidRPr="002273C5">
        <w:rPr>
          <w:rFonts w:cs="Calibri"/>
          <w:sz w:val="24"/>
          <w:szCs w:val="24"/>
          <w:lang w:val="fr-BE"/>
        </w:rPr>
        <w:t>.</w:t>
      </w:r>
    </w:p>
    <w:p w14:paraId="41FDD8F7" w14:textId="7121B70E" w:rsidR="004657C5" w:rsidRDefault="002273C5" w:rsidP="00AE7F64">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C5428E">
        <w:rPr>
          <w:rFonts w:ascii="Times New Roman" w:hAnsi="Times New Roman"/>
          <w:color w:val="000000" w:themeColor="text1"/>
        </w:rPr>
        <w:t>La mise en œuvre du projet d’aide d’urgence aux victimes des inondations dans les régions du Tagant et de la vallée (PAUVIR/TV</w:t>
      </w:r>
      <w:r>
        <w:t>)</w:t>
      </w:r>
      <w:r w:rsidRPr="00C5428E">
        <w:rPr>
          <w:rFonts w:ascii="Times New Roman" w:hAnsi="Times New Roman"/>
          <w:color w:val="000000" w:themeColor="text1"/>
        </w:rPr>
        <w:t xml:space="preserve"> est assurée par une Unité de gestion du projet P2RS (UGP)</w:t>
      </w:r>
      <w:r w:rsidRPr="005235A8">
        <w:t xml:space="preserve"> </w:t>
      </w:r>
      <w:r>
        <w:t xml:space="preserve">qui </w:t>
      </w:r>
      <w:r w:rsidRPr="00C5428E">
        <w:rPr>
          <w:rFonts w:ascii="Times New Roman" w:hAnsi="Times New Roman"/>
          <w:color w:val="000000" w:themeColor="text1"/>
        </w:rPr>
        <w:t>sera renforcée temporairement par l’expert en passation des marchés du projet actif en Mauritanie</w:t>
      </w:r>
      <w:r w:rsidR="00F669FE">
        <w:rPr>
          <w:rFonts w:ascii="Times New Roman" w:hAnsi="Times New Roman"/>
          <w:color w:val="000000" w:themeColor="text1"/>
        </w:rPr>
        <w:t>, notamment le PATAM.</w:t>
      </w:r>
      <w:r w:rsidRPr="00C5428E">
        <w:rPr>
          <w:rFonts w:ascii="Times New Roman" w:hAnsi="Times New Roman"/>
          <w:color w:val="000000" w:themeColor="text1"/>
        </w:rPr>
        <w:t xml:space="preserve"> </w:t>
      </w:r>
    </w:p>
    <w:p w14:paraId="3578932A" w14:textId="65B92C06" w:rsidR="004657C5" w:rsidRDefault="004657C5" w:rsidP="004657C5">
      <w:pPr>
        <w:tabs>
          <w:tab w:val="left" w:pos="851"/>
          <w:tab w:val="left" w:pos="1418"/>
          <w:tab w:val="left" w:pos="1985"/>
          <w:tab w:val="left" w:pos="2552"/>
        </w:tabs>
        <w:spacing w:after="0" w:line="240" w:lineRule="auto"/>
        <w:jc w:val="both"/>
        <w:rPr>
          <w:rFonts w:ascii="Times New Roman" w:hAnsi="Times New Roman"/>
          <w:color w:val="000000" w:themeColor="text1"/>
        </w:rPr>
      </w:pPr>
      <w:r>
        <w:rPr>
          <w:rFonts w:ascii="Times New Roman" w:hAnsi="Times New Roman"/>
          <w:color w:val="000000" w:themeColor="text1"/>
        </w:rPr>
        <w:t>Le Programme du Projet porte sur 3 acquisitions sur le financement de la BAD, notamment :</w:t>
      </w:r>
    </w:p>
    <w:p w14:paraId="29E0FF92" w14:textId="0B0BAF65" w:rsidR="004657C5" w:rsidRPr="004657C5" w:rsidRDefault="004657C5" w:rsidP="004657C5">
      <w:pPr>
        <w:pStyle w:val="Paragraphedeliste"/>
        <w:numPr>
          <w:ilvl w:val="0"/>
          <w:numId w:val="13"/>
        </w:numPr>
        <w:tabs>
          <w:tab w:val="left" w:pos="851"/>
          <w:tab w:val="left" w:pos="1418"/>
          <w:tab w:val="left" w:pos="1985"/>
          <w:tab w:val="left" w:pos="2552"/>
        </w:tabs>
        <w:spacing w:after="0" w:line="240" w:lineRule="auto"/>
        <w:jc w:val="both"/>
        <w:rPr>
          <w:rFonts w:ascii="Times New Roman" w:hAnsi="Times New Roman"/>
          <w:color w:val="000000" w:themeColor="text1"/>
        </w:rPr>
      </w:pPr>
      <w:r w:rsidRPr="004657C5">
        <w:rPr>
          <w:rFonts w:ascii="Times New Roman" w:hAnsi="Times New Roman"/>
          <w:color w:val="000000" w:themeColor="text1"/>
        </w:rPr>
        <w:t>Les semences traditionnelles</w:t>
      </w:r>
    </w:p>
    <w:p w14:paraId="323CDEDE" w14:textId="49ED3E97" w:rsidR="004657C5" w:rsidRPr="004657C5" w:rsidRDefault="004657C5" w:rsidP="004657C5">
      <w:pPr>
        <w:pStyle w:val="Paragraphedeliste"/>
        <w:numPr>
          <w:ilvl w:val="0"/>
          <w:numId w:val="13"/>
        </w:numPr>
        <w:tabs>
          <w:tab w:val="left" w:pos="851"/>
          <w:tab w:val="left" w:pos="1418"/>
          <w:tab w:val="left" w:pos="1985"/>
          <w:tab w:val="left" w:pos="2552"/>
        </w:tabs>
        <w:spacing w:after="0" w:line="240" w:lineRule="auto"/>
        <w:jc w:val="both"/>
        <w:rPr>
          <w:rFonts w:ascii="Times New Roman" w:hAnsi="Times New Roman"/>
          <w:color w:val="000000" w:themeColor="text1"/>
        </w:rPr>
      </w:pPr>
      <w:r w:rsidRPr="004657C5">
        <w:rPr>
          <w:rFonts w:ascii="Times New Roman" w:hAnsi="Times New Roman"/>
          <w:color w:val="000000" w:themeColor="text1"/>
        </w:rPr>
        <w:t xml:space="preserve">Les engrais </w:t>
      </w:r>
    </w:p>
    <w:p w14:paraId="2D871514" w14:textId="7B1F4437" w:rsidR="004657C5" w:rsidRPr="004657C5" w:rsidRDefault="004657C5" w:rsidP="004657C5">
      <w:pPr>
        <w:pStyle w:val="Paragraphedeliste"/>
        <w:numPr>
          <w:ilvl w:val="0"/>
          <w:numId w:val="13"/>
        </w:numPr>
        <w:tabs>
          <w:tab w:val="left" w:pos="851"/>
          <w:tab w:val="left" w:pos="1418"/>
          <w:tab w:val="left" w:pos="1985"/>
          <w:tab w:val="left" w:pos="2552"/>
        </w:tabs>
        <w:spacing w:after="0" w:line="240" w:lineRule="auto"/>
        <w:jc w:val="both"/>
        <w:rPr>
          <w:rFonts w:ascii="Times New Roman" w:hAnsi="Times New Roman"/>
          <w:color w:val="000000" w:themeColor="text1"/>
        </w:rPr>
      </w:pPr>
      <w:r w:rsidRPr="004657C5">
        <w:rPr>
          <w:rFonts w:ascii="Times New Roman" w:hAnsi="Times New Roman"/>
          <w:color w:val="000000" w:themeColor="text1"/>
        </w:rPr>
        <w:t>L’audit des comptes</w:t>
      </w:r>
    </w:p>
    <w:p w14:paraId="026C9315" w14:textId="0492E91F" w:rsidR="004657C5" w:rsidRDefault="002273C5" w:rsidP="00AE7F64">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C5428E">
        <w:rPr>
          <w:rFonts w:ascii="Times New Roman" w:hAnsi="Times New Roman"/>
          <w:color w:val="000000" w:themeColor="text1"/>
        </w:rPr>
        <w:t>Le gouvernement ne contribue pas au financement</w:t>
      </w:r>
      <w:r w:rsidR="004657C5">
        <w:rPr>
          <w:rFonts w:ascii="Times New Roman" w:hAnsi="Times New Roman"/>
          <w:color w:val="000000" w:themeColor="text1"/>
        </w:rPr>
        <w:t xml:space="preserve"> du PAUVIR-TV</w:t>
      </w:r>
      <w:r w:rsidRPr="00C5428E">
        <w:rPr>
          <w:rFonts w:ascii="Times New Roman" w:hAnsi="Times New Roman"/>
          <w:color w:val="000000" w:themeColor="text1"/>
        </w:rPr>
        <w:t>.</w:t>
      </w:r>
      <w:r w:rsidR="0081367E">
        <w:rPr>
          <w:rFonts w:ascii="Times New Roman" w:hAnsi="Times New Roman"/>
          <w:color w:val="000000" w:themeColor="text1"/>
        </w:rPr>
        <w:t xml:space="preserve"> A ce jour, le niveau de décaissement </w:t>
      </w:r>
      <w:r w:rsidR="004657C5">
        <w:rPr>
          <w:rFonts w:ascii="Times New Roman" w:hAnsi="Times New Roman"/>
          <w:color w:val="000000" w:themeColor="text1"/>
        </w:rPr>
        <w:t xml:space="preserve">du financement BAD, porte sur les deux </w:t>
      </w:r>
      <w:r w:rsidR="00EA7559">
        <w:rPr>
          <w:rFonts w:ascii="Times New Roman" w:hAnsi="Times New Roman"/>
          <w:color w:val="000000" w:themeColor="text1"/>
        </w:rPr>
        <w:t>premières</w:t>
      </w:r>
      <w:r w:rsidR="004657C5">
        <w:rPr>
          <w:rFonts w:ascii="Times New Roman" w:hAnsi="Times New Roman"/>
          <w:color w:val="000000" w:themeColor="text1"/>
        </w:rPr>
        <w:t xml:space="preserve"> </w:t>
      </w:r>
      <w:r w:rsidR="00EA7559">
        <w:rPr>
          <w:rFonts w:ascii="Times New Roman" w:hAnsi="Times New Roman"/>
          <w:color w:val="000000" w:themeColor="text1"/>
        </w:rPr>
        <w:t>acquisitions</w:t>
      </w:r>
      <w:r w:rsidR="004657C5">
        <w:rPr>
          <w:rFonts w:ascii="Times New Roman" w:hAnsi="Times New Roman"/>
          <w:color w:val="000000" w:themeColor="text1"/>
        </w:rPr>
        <w:t>. Il est</w:t>
      </w:r>
      <w:r w:rsidR="0081367E">
        <w:rPr>
          <w:rFonts w:ascii="Times New Roman" w:hAnsi="Times New Roman"/>
          <w:color w:val="000000" w:themeColor="text1"/>
        </w:rPr>
        <w:t xml:space="preserve"> de </w:t>
      </w:r>
      <w:r w:rsidR="00AE7F64">
        <w:rPr>
          <w:rFonts w:ascii="Times New Roman" w:hAnsi="Times New Roman"/>
          <w:color w:val="000000" w:themeColor="text1"/>
        </w:rPr>
        <w:t xml:space="preserve">98,69 </w:t>
      </w:r>
      <w:r w:rsidR="0081367E">
        <w:rPr>
          <w:rFonts w:ascii="Times New Roman" w:hAnsi="Times New Roman"/>
          <w:color w:val="000000" w:themeColor="text1"/>
        </w:rPr>
        <w:t>%.</w:t>
      </w:r>
      <w:r w:rsidRPr="00C5428E">
        <w:rPr>
          <w:rFonts w:ascii="Times New Roman" w:hAnsi="Times New Roman"/>
          <w:color w:val="000000" w:themeColor="text1"/>
        </w:rPr>
        <w:t xml:space="preserve"> </w:t>
      </w:r>
    </w:p>
    <w:p w14:paraId="4F8D47DA" w14:textId="66BE04D4" w:rsidR="0023598D" w:rsidRPr="00D62677" w:rsidRDefault="002273C5" w:rsidP="00AE7F64">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C5428E">
        <w:rPr>
          <w:rFonts w:ascii="Times New Roman" w:hAnsi="Times New Roman"/>
          <w:color w:val="000000" w:themeColor="text1"/>
        </w:rPr>
        <w:t xml:space="preserve">La période à auditer </w:t>
      </w:r>
      <w:r w:rsidR="00F669FE">
        <w:rPr>
          <w:rFonts w:ascii="Times New Roman" w:hAnsi="Times New Roman"/>
          <w:color w:val="000000" w:themeColor="text1"/>
        </w:rPr>
        <w:t>concerne l’exercice 2023</w:t>
      </w:r>
      <w:r w:rsidR="0081367E">
        <w:rPr>
          <w:rFonts w:ascii="Times New Roman" w:hAnsi="Times New Roman"/>
          <w:color w:val="000000" w:themeColor="text1"/>
        </w:rPr>
        <w:t xml:space="preserve"> et le rapport de l’audit doit</w:t>
      </w:r>
      <w:r w:rsidR="00EF6D8E">
        <w:rPr>
          <w:rFonts w:ascii="Times New Roman" w:hAnsi="Times New Roman"/>
          <w:color w:val="000000" w:themeColor="text1"/>
        </w:rPr>
        <w:t xml:space="preserve"> </w:t>
      </w:r>
      <w:r w:rsidR="004657C5">
        <w:rPr>
          <w:rFonts w:ascii="Times New Roman" w:hAnsi="Times New Roman"/>
          <w:color w:val="000000" w:themeColor="text1"/>
        </w:rPr>
        <w:t>être</w:t>
      </w:r>
      <w:r w:rsidR="00EF6D8E">
        <w:rPr>
          <w:rFonts w:ascii="Times New Roman" w:hAnsi="Times New Roman"/>
          <w:color w:val="000000" w:themeColor="text1"/>
        </w:rPr>
        <w:t xml:space="preserve"> transmis au plus tard</w:t>
      </w:r>
      <w:r w:rsidR="0081367E">
        <w:rPr>
          <w:rFonts w:ascii="Times New Roman" w:hAnsi="Times New Roman"/>
          <w:color w:val="000000" w:themeColor="text1"/>
        </w:rPr>
        <w:t xml:space="preserve"> fin avril 2024</w:t>
      </w:r>
      <w:r w:rsidR="00F669FE">
        <w:rPr>
          <w:rFonts w:ascii="Times New Roman" w:hAnsi="Times New Roman"/>
          <w:color w:val="000000" w:themeColor="text1"/>
        </w:rPr>
        <w:t>.</w:t>
      </w:r>
      <w:r w:rsidRPr="00C5428E">
        <w:rPr>
          <w:rFonts w:ascii="Times New Roman" w:hAnsi="Times New Roman"/>
          <w:color w:val="000000" w:themeColor="text1"/>
        </w:rPr>
        <w:t xml:space="preserve"> </w:t>
      </w:r>
    </w:p>
    <w:p w14:paraId="374F979A" w14:textId="00E94CB2" w:rsidR="00F00A07" w:rsidRPr="00D62677" w:rsidRDefault="00F00A07" w:rsidP="00DB75E6">
      <w:pPr>
        <w:pStyle w:val="Titre1"/>
        <w:numPr>
          <w:ilvl w:val="0"/>
          <w:numId w:val="9"/>
        </w:numPr>
      </w:pPr>
      <w:bookmarkStart w:id="5" w:name="_Toc13816760"/>
      <w:bookmarkStart w:id="6" w:name="_Toc132023887"/>
      <w:r w:rsidRPr="00D62677">
        <w:t>OBJECTIF DE L</w:t>
      </w:r>
      <w:r w:rsidR="008A4DB2" w:rsidRPr="00D62677">
        <w:t xml:space="preserve">A MISSION </w:t>
      </w:r>
      <w:r w:rsidR="004264CF" w:rsidRPr="00D62677">
        <w:t>D</w:t>
      </w:r>
      <w:r w:rsidR="001A5F5F" w:rsidRPr="00D62677">
        <w:t>’</w:t>
      </w:r>
      <w:r w:rsidR="007F7CE3">
        <w:t>EXAMEN</w:t>
      </w:r>
      <w:bookmarkEnd w:id="5"/>
      <w:bookmarkEnd w:id="6"/>
    </w:p>
    <w:p w14:paraId="217645B3" w14:textId="6993A9A3" w:rsidR="00F90FEF" w:rsidRPr="00D62677" w:rsidRDefault="00405823" w:rsidP="006E4DF1">
      <w:pPr>
        <w:pStyle w:val="Titre2"/>
      </w:pPr>
      <w:bookmarkStart w:id="7" w:name="_Toc132023888"/>
      <w:r>
        <w:t>L’</w:t>
      </w:r>
      <w:r w:rsidR="00820600">
        <w:t>examen</w:t>
      </w:r>
      <w:r w:rsidR="00274FE5" w:rsidRPr="00D62677">
        <w:t xml:space="preserve"> des états financiers en vertu de l</w:t>
      </w:r>
      <w:r w:rsidR="001A5F5F" w:rsidRPr="00D62677">
        <w:t>’</w:t>
      </w:r>
      <w:r w:rsidR="00274FE5" w:rsidRPr="00D62677">
        <w:t>ISRE 2400 vise les objectifs suivants :</w:t>
      </w:r>
      <w:bookmarkEnd w:id="7"/>
      <w:r w:rsidR="00274FE5" w:rsidRPr="00D62677">
        <w:t xml:space="preserve">  </w:t>
      </w:r>
    </w:p>
    <w:p w14:paraId="49C750C8" w14:textId="657ACD35" w:rsidR="00093C33" w:rsidRPr="00D62677" w:rsidRDefault="00EA1989" w:rsidP="00D62677">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D62677">
        <w:rPr>
          <w:rFonts w:ascii="Times New Roman" w:hAnsi="Times New Roman"/>
          <w:color w:val="000000" w:themeColor="text1"/>
        </w:rPr>
        <w:t xml:space="preserve">2.1.1 </w:t>
      </w:r>
      <w:r w:rsidR="00ED7B7C">
        <w:rPr>
          <w:rFonts w:ascii="Times New Roman" w:hAnsi="Times New Roman"/>
          <w:color w:val="000000" w:themeColor="text1"/>
        </w:rPr>
        <w:tab/>
      </w:r>
      <w:r w:rsidRPr="00D62677">
        <w:rPr>
          <w:rFonts w:ascii="Times New Roman" w:hAnsi="Times New Roman"/>
          <w:color w:val="000000" w:themeColor="text1"/>
        </w:rPr>
        <w:t>Acquérir une assurance limitée principalement par la mise en œuvre d</w:t>
      </w:r>
      <w:r w:rsidR="001A5F5F" w:rsidRPr="00D62677">
        <w:rPr>
          <w:rFonts w:ascii="Times New Roman" w:hAnsi="Times New Roman"/>
          <w:color w:val="000000" w:themeColor="text1"/>
        </w:rPr>
        <w:t>’</w:t>
      </w:r>
      <w:r w:rsidRPr="00D62677">
        <w:rPr>
          <w:rFonts w:ascii="Times New Roman" w:hAnsi="Times New Roman"/>
          <w:color w:val="000000" w:themeColor="text1"/>
        </w:rPr>
        <w:t>enquête</w:t>
      </w:r>
      <w:r w:rsidR="00405823">
        <w:rPr>
          <w:rFonts w:ascii="Times New Roman" w:hAnsi="Times New Roman"/>
          <w:color w:val="000000" w:themeColor="text1"/>
        </w:rPr>
        <w:t>s et des procédures analytiques</w:t>
      </w:r>
      <w:r w:rsidRPr="00D62677">
        <w:rPr>
          <w:rFonts w:ascii="Times New Roman" w:hAnsi="Times New Roman"/>
          <w:color w:val="000000" w:themeColor="text1"/>
        </w:rPr>
        <w:t xml:space="preserve"> que les états financiers sont, dans leur ensemble, exempts d</w:t>
      </w:r>
      <w:r w:rsidR="001A5F5F" w:rsidRPr="00D62677">
        <w:rPr>
          <w:rFonts w:ascii="Times New Roman" w:hAnsi="Times New Roman"/>
          <w:color w:val="000000" w:themeColor="text1"/>
        </w:rPr>
        <w:t>’</w:t>
      </w:r>
      <w:r w:rsidRPr="00D62677">
        <w:rPr>
          <w:rFonts w:ascii="Times New Roman" w:hAnsi="Times New Roman"/>
          <w:color w:val="000000" w:themeColor="text1"/>
        </w:rPr>
        <w:t>inexactitudes significatives</w:t>
      </w:r>
      <w:r w:rsidR="00820600">
        <w:rPr>
          <w:rFonts w:ascii="Times New Roman" w:hAnsi="Times New Roman"/>
          <w:color w:val="000000" w:themeColor="text1"/>
        </w:rPr>
        <w:t xml:space="preserve"> </w:t>
      </w:r>
      <w:r w:rsidR="00405823">
        <w:rPr>
          <w:rFonts w:ascii="Times New Roman" w:hAnsi="Times New Roman"/>
          <w:color w:val="000000" w:themeColor="text1"/>
        </w:rPr>
        <w:t xml:space="preserve">permettant ainsi </w:t>
      </w:r>
      <w:r w:rsidR="00032EC8">
        <w:rPr>
          <w:rFonts w:ascii="Times New Roman" w:hAnsi="Times New Roman"/>
          <w:color w:val="000000" w:themeColor="text1"/>
        </w:rPr>
        <w:t>à l’auditeur</w:t>
      </w:r>
      <w:r w:rsidRPr="00D62677">
        <w:rPr>
          <w:rFonts w:ascii="Times New Roman" w:hAnsi="Times New Roman"/>
          <w:color w:val="000000" w:themeColor="text1"/>
        </w:rPr>
        <w:t xml:space="preserve"> d</w:t>
      </w:r>
      <w:r w:rsidR="001A5F5F" w:rsidRPr="00D62677">
        <w:rPr>
          <w:rFonts w:ascii="Times New Roman" w:hAnsi="Times New Roman"/>
          <w:color w:val="000000" w:themeColor="text1"/>
        </w:rPr>
        <w:t>’</w:t>
      </w:r>
      <w:r w:rsidRPr="00D62677">
        <w:rPr>
          <w:rFonts w:ascii="Times New Roman" w:hAnsi="Times New Roman"/>
          <w:color w:val="000000" w:themeColor="text1"/>
        </w:rPr>
        <w:t>émettre une opinion en indiquant si les états financiers sont en tous points conformes et respectent le cadre d</w:t>
      </w:r>
      <w:r w:rsidR="001A5F5F" w:rsidRPr="00D62677">
        <w:rPr>
          <w:rFonts w:ascii="Times New Roman" w:hAnsi="Times New Roman"/>
          <w:color w:val="000000" w:themeColor="text1"/>
        </w:rPr>
        <w:t>’</w:t>
      </w:r>
      <w:r w:rsidRPr="00D62677">
        <w:rPr>
          <w:rFonts w:ascii="Times New Roman" w:hAnsi="Times New Roman"/>
          <w:color w:val="000000" w:themeColor="text1"/>
        </w:rPr>
        <w:t>information financière en vigueur ; et</w:t>
      </w:r>
    </w:p>
    <w:p w14:paraId="64B20EB4" w14:textId="77147A00" w:rsidR="0062604B" w:rsidRPr="00D62677" w:rsidRDefault="00F90FEF" w:rsidP="00DB75E6">
      <w:pPr>
        <w:pStyle w:val="Paragraphedeliste"/>
        <w:numPr>
          <w:ilvl w:val="2"/>
          <w:numId w:val="6"/>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Exprimer une opinion</w:t>
      </w:r>
      <w:r w:rsidR="00405823">
        <w:rPr>
          <w:rFonts w:ascii="Times New Roman" w:hAnsi="Times New Roman"/>
          <w:color w:val="000000" w:themeColor="text1"/>
        </w:rPr>
        <w:t xml:space="preserve"> et</w:t>
      </w:r>
      <w:r w:rsidRPr="00D62677">
        <w:rPr>
          <w:rFonts w:ascii="Times New Roman" w:hAnsi="Times New Roman"/>
          <w:color w:val="000000" w:themeColor="text1"/>
        </w:rPr>
        <w:t xml:space="preserve"> produire un rapport sur les états financiers dans leur ensemble et </w:t>
      </w:r>
      <w:r w:rsidR="00405823">
        <w:rPr>
          <w:rFonts w:ascii="Times New Roman" w:hAnsi="Times New Roman"/>
          <w:color w:val="000000" w:themeColor="text1"/>
        </w:rPr>
        <w:t xml:space="preserve"> en faire communication  telle que </w:t>
      </w:r>
      <w:r w:rsidRPr="00D62677">
        <w:rPr>
          <w:rFonts w:ascii="Times New Roman" w:hAnsi="Times New Roman"/>
          <w:color w:val="000000" w:themeColor="text1"/>
        </w:rPr>
        <w:t xml:space="preserv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exigent les </w:t>
      </w:r>
      <w:r w:rsidR="00405823">
        <w:rPr>
          <w:rFonts w:ascii="Times New Roman" w:hAnsi="Times New Roman"/>
          <w:color w:val="000000" w:themeColor="text1"/>
        </w:rPr>
        <w:t>n</w:t>
      </w:r>
      <w:r w:rsidRPr="00D62677">
        <w:rPr>
          <w:rFonts w:ascii="Times New Roman" w:hAnsi="Times New Roman"/>
          <w:color w:val="000000" w:themeColor="text1"/>
        </w:rPr>
        <w:t xml:space="preserve">ormes internationales sur les missions </w:t>
      </w:r>
      <w:r w:rsidR="00405823">
        <w:rPr>
          <w:rFonts w:ascii="Times New Roman" w:hAnsi="Times New Roman"/>
          <w:color w:val="000000" w:themeColor="text1"/>
        </w:rPr>
        <w:t>d’examen</w:t>
      </w:r>
      <w:r w:rsidRPr="00D62677">
        <w:rPr>
          <w:rFonts w:ascii="Times New Roman" w:hAnsi="Times New Roman"/>
          <w:color w:val="000000" w:themeColor="text1"/>
        </w:rPr>
        <w:t xml:space="preserve"> (opinion négative) ; </w:t>
      </w:r>
    </w:p>
    <w:p w14:paraId="214F7FA6" w14:textId="5D3EA07C" w:rsidR="00F00A07" w:rsidRPr="00D62677" w:rsidRDefault="0068262C" w:rsidP="00DB75E6">
      <w:pPr>
        <w:pStyle w:val="Paragraphedeliste"/>
        <w:numPr>
          <w:ilvl w:val="2"/>
          <w:numId w:val="6"/>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Obtenir une assurance limitée que les livres comptables du projet ou du programme permettent à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de préparer les états financiers, et reflètent les transactions financières effectuées dans le cadre du projet ou du programme. La CEP doit maintenir un système de contrôle interne adéquat et conserver les pièces justificatives des transactions. </w:t>
      </w:r>
    </w:p>
    <w:p w14:paraId="25F05B66" w14:textId="5302D826" w:rsidR="00F00A07" w:rsidRPr="006E4DF1" w:rsidRDefault="00F00A07" w:rsidP="00DB75E6">
      <w:pPr>
        <w:pStyle w:val="Titre1"/>
        <w:numPr>
          <w:ilvl w:val="0"/>
          <w:numId w:val="9"/>
        </w:numPr>
      </w:pPr>
      <w:bookmarkStart w:id="8" w:name="_Toc13816761"/>
      <w:bookmarkStart w:id="9" w:name="_Toc132023889"/>
      <w:r w:rsidRPr="006E4DF1">
        <w:lastRenderedPageBreak/>
        <w:t>RESPONSABILITÉ DE LA PRÉPARATION DES ÉTATS FINANCIERS</w:t>
      </w:r>
      <w:bookmarkEnd w:id="8"/>
      <w:bookmarkEnd w:id="9"/>
      <w:r w:rsidRPr="006E4DF1">
        <w:t xml:space="preserve"> </w:t>
      </w:r>
    </w:p>
    <w:p w14:paraId="785B9370" w14:textId="77777777" w:rsidR="00DB75E6" w:rsidRDefault="00DB75E6" w:rsidP="00DB75E6">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DB75E6">
        <w:rPr>
          <w:rFonts w:ascii="Times New Roman" w:hAnsi="Times New Roman"/>
          <w:color w:val="000000" w:themeColor="text1"/>
        </w:rPr>
        <w:t xml:space="preserve">3.1. La responsabilité de la préparation des EFP incombe à l’équipe chargée de la gestion du projet/programme. Celle-ci est également responsable :  </w:t>
      </w:r>
    </w:p>
    <w:p w14:paraId="204B15F3" w14:textId="1F902802" w:rsidR="00DB75E6" w:rsidRDefault="00DB75E6" w:rsidP="00DB75E6">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Pr>
          <w:rFonts w:ascii="Times New Roman" w:hAnsi="Times New Roman"/>
          <w:color w:val="000000" w:themeColor="text1"/>
        </w:rPr>
        <w:t>3.2.</w:t>
      </w:r>
      <w:r w:rsidRPr="00DB75E6">
        <w:rPr>
          <w:rFonts w:ascii="Times New Roman" w:hAnsi="Times New Roman"/>
          <w:color w:val="000000" w:themeColor="text1"/>
        </w:rPr>
        <w:t>.</w:t>
      </w:r>
      <w:r w:rsidR="00405823" w:rsidRPr="00DB75E6">
        <w:rPr>
          <w:rFonts w:ascii="Times New Roman" w:hAnsi="Times New Roman"/>
          <w:color w:val="000000" w:themeColor="text1"/>
        </w:rPr>
        <w:t>Du</w:t>
      </w:r>
      <w:r w:rsidR="00F00A07" w:rsidRPr="00DB75E6">
        <w:rPr>
          <w:rFonts w:ascii="Times New Roman" w:hAnsi="Times New Roman"/>
          <w:color w:val="000000" w:themeColor="text1"/>
        </w:rPr>
        <w:t xml:space="preserve"> choix et de l</w:t>
      </w:r>
      <w:r w:rsidR="001A5F5F" w:rsidRPr="00DB75E6">
        <w:rPr>
          <w:rFonts w:ascii="Times New Roman" w:hAnsi="Times New Roman"/>
          <w:color w:val="000000" w:themeColor="text1"/>
        </w:rPr>
        <w:t>’</w:t>
      </w:r>
      <w:r w:rsidR="00F00A07" w:rsidRPr="00DB75E6">
        <w:rPr>
          <w:rFonts w:ascii="Times New Roman" w:hAnsi="Times New Roman"/>
          <w:color w:val="000000" w:themeColor="text1"/>
        </w:rPr>
        <w:t xml:space="preserve">application des principes comptables ; de la </w:t>
      </w:r>
      <w:r w:rsidR="008A4DB2" w:rsidRPr="00DB75E6">
        <w:rPr>
          <w:rFonts w:ascii="Times New Roman" w:hAnsi="Times New Roman"/>
          <w:color w:val="000000" w:themeColor="text1"/>
        </w:rPr>
        <w:t>préparation d</w:t>
      </w:r>
      <w:r w:rsidR="00F00A07" w:rsidRPr="00DB75E6">
        <w:rPr>
          <w:rFonts w:ascii="Times New Roman" w:hAnsi="Times New Roman"/>
          <w:color w:val="000000" w:themeColor="text1"/>
        </w:rPr>
        <w:t>es EFP selon les normes comptables applicables : soit les normes comptables internationales du secteur public (IPSAS), soit les normes internationales d</w:t>
      </w:r>
      <w:r w:rsidR="001A5F5F" w:rsidRPr="00DB75E6">
        <w:rPr>
          <w:rFonts w:ascii="Times New Roman" w:hAnsi="Times New Roman"/>
          <w:color w:val="000000" w:themeColor="text1"/>
        </w:rPr>
        <w:t>’</w:t>
      </w:r>
      <w:r w:rsidR="00F00A07" w:rsidRPr="00DB75E6">
        <w:rPr>
          <w:rFonts w:ascii="Times New Roman" w:hAnsi="Times New Roman"/>
          <w:color w:val="000000" w:themeColor="text1"/>
        </w:rPr>
        <w:t>information financière (IFRS), ou les normes comptables nationales conformes ;</w:t>
      </w:r>
    </w:p>
    <w:p w14:paraId="0AC8B668" w14:textId="36CD87F4" w:rsidR="00F00A07" w:rsidRPr="00DB75E6" w:rsidRDefault="00DB75E6" w:rsidP="00DB75E6">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Pr>
          <w:rFonts w:ascii="Times New Roman" w:hAnsi="Times New Roman"/>
          <w:color w:val="000000" w:themeColor="text1"/>
        </w:rPr>
        <w:t>3.3.</w:t>
      </w:r>
      <w:r w:rsidR="00405823" w:rsidRPr="00D62677">
        <w:rPr>
          <w:rFonts w:ascii="Times New Roman" w:hAnsi="Times New Roman"/>
          <w:color w:val="000000" w:themeColor="text1"/>
        </w:rPr>
        <w:t>De</w:t>
      </w:r>
      <w:r w:rsidR="00F00A07" w:rsidRPr="00D62677">
        <w:rPr>
          <w:rFonts w:ascii="Times New Roman" w:hAnsi="Times New Roman"/>
          <w:color w:val="000000" w:themeColor="text1"/>
        </w:rPr>
        <w:t xml:space="preserve"> la mise en œuvre des principes comptables et des procédures administratives et financières consignés dans les manuels de procédures pertinents ; </w:t>
      </w:r>
    </w:p>
    <w:p w14:paraId="19B4A34B" w14:textId="58BAAB93" w:rsidR="00F00A07" w:rsidRPr="00D62677" w:rsidRDefault="00032EC8" w:rsidP="00D62677">
      <w:pPr>
        <w:tabs>
          <w:tab w:val="left" w:pos="851"/>
          <w:tab w:val="left" w:pos="1418"/>
          <w:tab w:val="left" w:pos="1985"/>
          <w:tab w:val="left" w:pos="2552"/>
          <w:tab w:val="left" w:pos="5010"/>
        </w:tabs>
        <w:spacing w:before="240" w:after="240" w:line="240" w:lineRule="auto"/>
        <w:jc w:val="both"/>
        <w:rPr>
          <w:rFonts w:ascii="Times New Roman" w:hAnsi="Times New Roman"/>
          <w:color w:val="000000" w:themeColor="text1"/>
        </w:rPr>
      </w:pPr>
      <w:r>
        <w:rPr>
          <w:rFonts w:ascii="Times New Roman" w:hAnsi="Times New Roman"/>
          <w:color w:val="000000" w:themeColor="text1"/>
        </w:rPr>
        <w:t>L’auditeur</w:t>
      </w:r>
      <w:r w:rsidR="00F00A07" w:rsidRPr="00D62677">
        <w:rPr>
          <w:rFonts w:ascii="Times New Roman" w:hAnsi="Times New Roman"/>
          <w:color w:val="000000" w:themeColor="text1"/>
        </w:rPr>
        <w:t xml:space="preserve"> est chargé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exprimer une opinion sur les objectifs de la mission d</w:t>
      </w:r>
      <w:r w:rsidR="001A5F5F" w:rsidRPr="00D62677">
        <w:rPr>
          <w:rFonts w:ascii="Times New Roman" w:hAnsi="Times New Roman"/>
          <w:color w:val="000000" w:themeColor="text1"/>
        </w:rPr>
        <w:t>’</w:t>
      </w:r>
      <w:r w:rsidR="007F7CE3">
        <w:rPr>
          <w:rFonts w:ascii="Times New Roman" w:hAnsi="Times New Roman"/>
          <w:color w:val="000000" w:themeColor="text1"/>
        </w:rPr>
        <w:t>examen</w:t>
      </w:r>
      <w:r w:rsidR="00F00A07" w:rsidRPr="00D62677">
        <w:rPr>
          <w:rFonts w:ascii="Times New Roman" w:hAnsi="Times New Roman"/>
          <w:color w:val="000000" w:themeColor="text1"/>
        </w:rPr>
        <w:t xml:space="preserve"> comme indiqué au paragraphe 2.1 ci-dessus.</w:t>
      </w:r>
    </w:p>
    <w:p w14:paraId="2C1DEDEB" w14:textId="01995FDF" w:rsidR="00F00A07" w:rsidRPr="006E4DF1" w:rsidRDefault="004264CF" w:rsidP="00DB75E6">
      <w:pPr>
        <w:pStyle w:val="Titre1"/>
        <w:numPr>
          <w:ilvl w:val="0"/>
          <w:numId w:val="9"/>
        </w:numPr>
      </w:pPr>
      <w:bookmarkStart w:id="10" w:name="_Toc13816762"/>
      <w:bookmarkStart w:id="11" w:name="_Toc132023890"/>
      <w:r w:rsidRPr="006E4DF1">
        <w:t xml:space="preserve">ÉTENDUE DE </w:t>
      </w:r>
      <w:r w:rsidR="00F05C3E" w:rsidRPr="006E4DF1">
        <w:t xml:space="preserve">  LA MISSION D’</w:t>
      </w:r>
      <w:r w:rsidR="007F7CE3" w:rsidRPr="006E4DF1">
        <w:t>EXAMEN</w:t>
      </w:r>
      <w:bookmarkEnd w:id="10"/>
      <w:bookmarkEnd w:id="11"/>
    </w:p>
    <w:p w14:paraId="2B5B58DF" w14:textId="57EA7B68" w:rsidR="00F00A07" w:rsidRPr="00DB75E6" w:rsidRDefault="00DB75E6" w:rsidP="00DB75E6">
      <w:pPr>
        <w:pStyle w:val="Paragraphedeliste"/>
        <w:numPr>
          <w:ilvl w:val="1"/>
          <w:numId w:val="9"/>
        </w:num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DB75E6">
        <w:rPr>
          <w:rFonts w:ascii="Times New Roman" w:hAnsi="Times New Roman"/>
          <w:color w:val="000000" w:themeColor="text1"/>
        </w:rPr>
        <w:t>.</w:t>
      </w:r>
      <w:r>
        <w:rPr>
          <w:rFonts w:ascii="Times New Roman" w:hAnsi="Times New Roman"/>
          <w:color w:val="000000" w:themeColor="text1"/>
        </w:rPr>
        <w:t xml:space="preserve"> </w:t>
      </w:r>
      <w:r w:rsidR="008A4DB2" w:rsidRPr="00DB75E6">
        <w:rPr>
          <w:rFonts w:ascii="Times New Roman" w:hAnsi="Times New Roman"/>
          <w:color w:val="000000" w:themeColor="text1"/>
        </w:rPr>
        <w:t>L</w:t>
      </w:r>
      <w:r w:rsidR="001A5F5F" w:rsidRPr="00DB75E6">
        <w:rPr>
          <w:rFonts w:ascii="Times New Roman" w:hAnsi="Times New Roman"/>
          <w:color w:val="000000" w:themeColor="text1"/>
        </w:rPr>
        <w:t>’</w:t>
      </w:r>
      <w:r w:rsidR="007F7CE3" w:rsidRPr="00DB75E6">
        <w:rPr>
          <w:rFonts w:ascii="Times New Roman" w:hAnsi="Times New Roman"/>
          <w:color w:val="000000" w:themeColor="text1"/>
        </w:rPr>
        <w:t>examen</w:t>
      </w:r>
      <w:r w:rsidR="00F00A07" w:rsidRPr="00DB75E6">
        <w:rPr>
          <w:rFonts w:ascii="Times New Roman" w:hAnsi="Times New Roman"/>
          <w:color w:val="000000" w:themeColor="text1"/>
        </w:rPr>
        <w:t xml:space="preserve"> sera réalisé en conformité avec la norme internationale d</w:t>
      </w:r>
      <w:r w:rsidR="001A5F5F" w:rsidRPr="00DB75E6">
        <w:rPr>
          <w:rFonts w:ascii="Times New Roman" w:hAnsi="Times New Roman"/>
          <w:color w:val="000000" w:themeColor="text1"/>
        </w:rPr>
        <w:t>’</w:t>
      </w:r>
      <w:r w:rsidR="00F00A07" w:rsidRPr="00DB75E6">
        <w:rPr>
          <w:rFonts w:ascii="Times New Roman" w:hAnsi="Times New Roman"/>
          <w:color w:val="000000" w:themeColor="text1"/>
        </w:rPr>
        <w:t>examen limité (ISRE) 24</w:t>
      </w:r>
      <w:r w:rsidR="008701DD" w:rsidRPr="00DB75E6">
        <w:rPr>
          <w:rFonts w:ascii="Times New Roman" w:hAnsi="Times New Roman"/>
          <w:color w:val="000000" w:themeColor="text1"/>
        </w:rPr>
        <w:t>0</w:t>
      </w:r>
      <w:r w:rsidR="00F00A07" w:rsidRPr="00DB75E6">
        <w:rPr>
          <w:rFonts w:ascii="Times New Roman" w:hAnsi="Times New Roman"/>
          <w:color w:val="000000" w:themeColor="text1"/>
        </w:rPr>
        <w:t xml:space="preserve">0 sur les sujets suivants : </w:t>
      </w:r>
    </w:p>
    <w:p w14:paraId="778E595C" w14:textId="2593C1A1" w:rsidR="00F00A07" w:rsidRPr="00D62677" w:rsidRDefault="002B2577" w:rsidP="00DF2ED1">
      <w:pPr>
        <w:numPr>
          <w:ilvl w:val="0"/>
          <w:numId w:val="2"/>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Pr>
          <w:rFonts w:ascii="Times New Roman" w:hAnsi="Times New Roman"/>
          <w:color w:val="000000" w:themeColor="text1"/>
        </w:rPr>
        <w:t>T</w:t>
      </w:r>
      <w:r w:rsidR="00F00A07" w:rsidRPr="00D62677">
        <w:rPr>
          <w:rFonts w:ascii="Times New Roman" w:hAnsi="Times New Roman"/>
          <w:color w:val="000000" w:themeColor="text1"/>
        </w:rPr>
        <w:t>ous les fonds, ont été utilisés conformément aux conditions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accord ou des accords de don, avec une attention particulière à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économie et à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efficacité et seulement aux fins pour lesquelles ils ont été fournis ;</w:t>
      </w:r>
    </w:p>
    <w:p w14:paraId="4CBE3FF8" w14:textId="0F4432B4" w:rsidR="00F00A07" w:rsidRPr="00D62677" w:rsidRDefault="002B2577" w:rsidP="00DB75E6">
      <w:pPr>
        <w:numPr>
          <w:ilvl w:val="0"/>
          <w:numId w:val="2"/>
        </w:numPr>
        <w:tabs>
          <w:tab w:val="left" w:pos="360"/>
          <w:tab w:val="num" w:pos="450"/>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Pr>
          <w:rFonts w:ascii="Times New Roman" w:hAnsi="Times New Roman"/>
          <w:color w:val="000000" w:themeColor="text1"/>
        </w:rPr>
        <w:t>L</w:t>
      </w:r>
      <w:r w:rsidR="004A099A" w:rsidRPr="00D62677">
        <w:rPr>
          <w:rFonts w:ascii="Times New Roman" w:hAnsi="Times New Roman"/>
          <w:color w:val="000000" w:themeColor="text1"/>
        </w:rPr>
        <w:t>es acquisitions de biens, travaux et services financés ont été réalisées conformément aux dispositions de l</w:t>
      </w:r>
      <w:r w:rsidR="001A5F5F" w:rsidRPr="00D62677">
        <w:rPr>
          <w:rFonts w:ascii="Times New Roman" w:hAnsi="Times New Roman"/>
          <w:color w:val="000000" w:themeColor="text1"/>
        </w:rPr>
        <w:t>’</w:t>
      </w:r>
      <w:r w:rsidR="004A099A" w:rsidRPr="00D62677">
        <w:rPr>
          <w:rFonts w:ascii="Times New Roman" w:hAnsi="Times New Roman"/>
          <w:color w:val="000000" w:themeColor="text1"/>
        </w:rPr>
        <w:t xml:space="preserve">accord de financement et ont été correctement enregistrées dans les livres comptables ;  </w:t>
      </w:r>
    </w:p>
    <w:p w14:paraId="221A34B1" w14:textId="7A41EC7D" w:rsidR="00F00A07" w:rsidRPr="00D62677" w:rsidRDefault="002B2577" w:rsidP="00DB75E6">
      <w:pPr>
        <w:numPr>
          <w:ilvl w:val="0"/>
          <w:numId w:val="2"/>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T</w:t>
      </w:r>
      <w:r w:rsidR="00F00A07" w:rsidRPr="00D62677">
        <w:rPr>
          <w:rFonts w:ascii="Times New Roman" w:hAnsi="Times New Roman"/>
          <w:color w:val="000000" w:themeColor="text1"/>
        </w:rPr>
        <w:t xml:space="preserve">outes les pièces justificatives appropriées, </w:t>
      </w:r>
      <w:r w:rsidR="001A5F5F" w:rsidRPr="00D62677">
        <w:rPr>
          <w:rFonts w:ascii="Times New Roman" w:hAnsi="Times New Roman"/>
          <w:color w:val="000000" w:themeColor="text1"/>
        </w:rPr>
        <w:t xml:space="preserve">les </w:t>
      </w:r>
      <w:r w:rsidR="00F00A07" w:rsidRPr="00D62677">
        <w:rPr>
          <w:rFonts w:ascii="Times New Roman" w:hAnsi="Times New Roman"/>
          <w:color w:val="000000" w:themeColor="text1"/>
        </w:rPr>
        <w:t>documents et livres comptables relatifs aux activités du projet ou du programme sont conservés ;</w:t>
      </w:r>
    </w:p>
    <w:p w14:paraId="3AF8D1DD" w14:textId="2DFD7EB3" w:rsidR="00F00A07" w:rsidRPr="00D62677" w:rsidRDefault="002B2577" w:rsidP="00DF2ED1">
      <w:pPr>
        <w:numPr>
          <w:ilvl w:val="0"/>
          <w:numId w:val="2"/>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L</w:t>
      </w:r>
      <w:r w:rsidR="00F00A07" w:rsidRPr="00D62677">
        <w:rPr>
          <w:rFonts w:ascii="Times New Roman" w:hAnsi="Times New Roman"/>
          <w:color w:val="000000" w:themeColor="text1"/>
        </w:rPr>
        <w:t xml:space="preserve">es décaissements de fonds ont été effectués en conformité avec les conditions du don ou les accords de prêt ; </w:t>
      </w:r>
    </w:p>
    <w:p w14:paraId="7CBBFA59" w14:textId="14D4D9A9" w:rsidR="00F00A07" w:rsidRPr="00D62677" w:rsidRDefault="002B2577" w:rsidP="00DB75E6">
      <w:pPr>
        <w:numPr>
          <w:ilvl w:val="0"/>
          <w:numId w:val="2"/>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Pr>
          <w:rFonts w:ascii="Times New Roman" w:hAnsi="Times New Roman"/>
          <w:color w:val="000000" w:themeColor="text1"/>
        </w:rPr>
        <w:t>L</w:t>
      </w:r>
      <w:r w:rsidR="00F00A07" w:rsidRPr="00D62677">
        <w:rPr>
          <w:rFonts w:ascii="Times New Roman" w:hAnsi="Times New Roman"/>
          <w:color w:val="000000" w:themeColor="text1"/>
        </w:rPr>
        <w:t xml:space="preserve">es paiements effectués </w:t>
      </w:r>
      <w:r w:rsidR="008A4DB2" w:rsidRPr="00D62677">
        <w:rPr>
          <w:rFonts w:ascii="Times New Roman" w:hAnsi="Times New Roman"/>
          <w:color w:val="000000" w:themeColor="text1"/>
        </w:rPr>
        <w:t>grâce aux</w:t>
      </w:r>
      <w:r w:rsidR="004264CF" w:rsidRPr="00D62677">
        <w:rPr>
          <w:rFonts w:ascii="Times New Roman" w:hAnsi="Times New Roman"/>
          <w:color w:val="000000" w:themeColor="text1"/>
        </w:rPr>
        <w:t xml:space="preserve"> ressources du projet ou du </w:t>
      </w:r>
      <w:r w:rsidR="00F00A07" w:rsidRPr="00D62677">
        <w:rPr>
          <w:rFonts w:ascii="Times New Roman" w:hAnsi="Times New Roman"/>
          <w:color w:val="000000" w:themeColor="text1"/>
        </w:rPr>
        <w:t>programme correspondent aux activités du projet ou du programme comme indiqué dans le rapport su</w:t>
      </w:r>
      <w:r w:rsidR="004264CF" w:rsidRPr="00D62677">
        <w:rPr>
          <w:rFonts w:ascii="Times New Roman" w:hAnsi="Times New Roman"/>
          <w:color w:val="000000" w:themeColor="text1"/>
        </w:rPr>
        <w:t>r l</w:t>
      </w:r>
      <w:r w:rsidR="001A5F5F" w:rsidRPr="00D62677">
        <w:rPr>
          <w:rFonts w:ascii="Times New Roman" w:hAnsi="Times New Roman"/>
          <w:color w:val="000000" w:themeColor="text1"/>
        </w:rPr>
        <w:t>’</w:t>
      </w:r>
      <w:r w:rsidR="004264CF"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4264CF" w:rsidRPr="00D62677">
        <w:rPr>
          <w:rFonts w:ascii="Times New Roman" w:hAnsi="Times New Roman"/>
          <w:color w:val="000000" w:themeColor="text1"/>
        </w:rPr>
        <w:t xml:space="preserve">avancement du projet </w:t>
      </w:r>
      <w:r w:rsidR="00F00A07" w:rsidRPr="00D62677">
        <w:rPr>
          <w:rFonts w:ascii="Times New Roman" w:hAnsi="Times New Roman"/>
          <w:color w:val="000000" w:themeColor="text1"/>
        </w:rPr>
        <w:t xml:space="preserve">ou du programme ; </w:t>
      </w:r>
    </w:p>
    <w:p w14:paraId="161F09DE" w14:textId="4CD7CEE7" w:rsidR="00F00A07" w:rsidRPr="00D62677" w:rsidRDefault="00F00A07" w:rsidP="00DB75E6">
      <w:pPr>
        <w:numPr>
          <w:ilvl w:val="0"/>
          <w:numId w:val="2"/>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t>Les états financiers ont été préparés par les responsables du projet ou du programme en conformité avec le référentiel comptable applicable ;</w:t>
      </w:r>
    </w:p>
    <w:p w14:paraId="5088B8E7" w14:textId="093ACD30" w:rsidR="00F00A07" w:rsidRPr="00D62677" w:rsidRDefault="00F00A07" w:rsidP="00ED7B7C">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(h) </w:t>
      </w:r>
      <w:r w:rsidR="00ED7B7C">
        <w:rPr>
          <w:rFonts w:ascii="Times New Roman" w:hAnsi="Times New Roman"/>
          <w:color w:val="000000" w:themeColor="text1"/>
        </w:rPr>
        <w:tab/>
      </w:r>
      <w:r w:rsidRPr="00D62677">
        <w:rPr>
          <w:rFonts w:ascii="Times New Roman" w:hAnsi="Times New Roman"/>
          <w:color w:val="000000" w:themeColor="text1"/>
        </w:rPr>
        <w:t>Aucune dépense inéligible n</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 été relevée </w:t>
      </w:r>
      <w:r w:rsidR="00032EC8">
        <w:rPr>
          <w:rFonts w:ascii="Times New Roman" w:hAnsi="Times New Roman"/>
          <w:color w:val="000000" w:themeColor="text1"/>
        </w:rPr>
        <w:t>au cours de la mission</w:t>
      </w:r>
      <w:r w:rsidRPr="00D62677">
        <w:rPr>
          <w:rFonts w:ascii="Times New Roman" w:hAnsi="Times New Roman"/>
          <w:color w:val="000000" w:themeColor="text1"/>
        </w:rPr>
        <w:t>.</w:t>
      </w:r>
    </w:p>
    <w:p w14:paraId="7BE36465" w14:textId="1F056F3F" w:rsidR="00F00A07" w:rsidRPr="00D62677" w:rsidRDefault="00F00A07" w:rsidP="00DB75E6">
      <w:pPr>
        <w:pStyle w:val="Titre1"/>
        <w:numPr>
          <w:ilvl w:val="0"/>
          <w:numId w:val="9"/>
        </w:numPr>
        <w:rPr>
          <w:color w:val="auto"/>
        </w:rPr>
      </w:pPr>
      <w:bookmarkStart w:id="12" w:name="_Toc13816763"/>
      <w:bookmarkStart w:id="13" w:name="_Toc132023891"/>
      <w:r w:rsidRPr="00D62677">
        <w:t>ÉTATS FINANCIERS</w:t>
      </w:r>
      <w:bookmarkEnd w:id="12"/>
      <w:bookmarkEnd w:id="13"/>
    </w:p>
    <w:p w14:paraId="6FDE04BF" w14:textId="050C2C2B" w:rsidR="00945A62" w:rsidRPr="00D62677" w:rsidRDefault="00032EC8" w:rsidP="00DB75E6">
      <w:pPr>
        <w:pStyle w:val="Corpsdetexte2"/>
        <w:numPr>
          <w:ilvl w:val="1"/>
          <w:numId w:val="9"/>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rPr>
      </w:pPr>
      <w:r>
        <w:rPr>
          <w:rFonts w:ascii="Times New Roman" w:hAnsi="Times New Roman"/>
        </w:rPr>
        <w:t>L’auditeur</w:t>
      </w:r>
      <w:r w:rsidR="00CD464B" w:rsidRPr="00D62677">
        <w:rPr>
          <w:rFonts w:ascii="Times New Roman" w:hAnsi="Times New Roman"/>
        </w:rPr>
        <w:t xml:space="preserve"> vérifie que les EFP ont été établis conformément aux normes comptables convenues (voir paragraphe III ci-dessus) et donnent une image fidèle de la situation financière du projet à la date considérée. </w:t>
      </w:r>
    </w:p>
    <w:p w14:paraId="633FAABD" w14:textId="267721B0" w:rsidR="00B17F23" w:rsidRPr="002B2577" w:rsidRDefault="00B17F23" w:rsidP="00DB75E6">
      <w:pPr>
        <w:pStyle w:val="Corpsdetexte2"/>
        <w:numPr>
          <w:ilvl w:val="1"/>
          <w:numId w:val="9"/>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rPr>
      </w:pPr>
      <w:r w:rsidRPr="00D62677">
        <w:rPr>
          <w:rFonts w:ascii="Times New Roman" w:hAnsi="Times New Roman"/>
          <w:color w:val="000000" w:themeColor="text1"/>
        </w:rPr>
        <w:t xml:space="preserve">Aux fins de la présentation des états financiers, </w:t>
      </w:r>
      <w:r w:rsidR="00926458">
        <w:rPr>
          <w:rFonts w:ascii="Times New Roman" w:hAnsi="Times New Roman"/>
          <w:color w:val="000000" w:themeColor="text1"/>
        </w:rPr>
        <w:t>l</w:t>
      </w:r>
      <w:r w:rsidR="00032EC8">
        <w:rPr>
          <w:rFonts w:ascii="Times New Roman" w:hAnsi="Times New Roman"/>
          <w:color w:val="000000" w:themeColor="text1"/>
        </w:rPr>
        <w:t>’auditeur</w:t>
      </w:r>
      <w:r w:rsidRPr="00D62677">
        <w:rPr>
          <w:rFonts w:ascii="Times New Roman" w:hAnsi="Times New Roman"/>
          <w:color w:val="000000" w:themeColor="text1"/>
        </w:rPr>
        <w:t xml:space="preserve"> doit vérifier et s</w:t>
      </w:r>
      <w:r w:rsidR="001A5F5F" w:rsidRPr="00D62677">
        <w:rPr>
          <w:rFonts w:ascii="Times New Roman" w:hAnsi="Times New Roman"/>
          <w:color w:val="000000" w:themeColor="text1"/>
        </w:rPr>
        <w:t>’</w:t>
      </w:r>
      <w:r w:rsidRPr="00D62677">
        <w:rPr>
          <w:rFonts w:ascii="Times New Roman" w:hAnsi="Times New Roman"/>
          <w:color w:val="000000" w:themeColor="text1"/>
        </w:rPr>
        <w:t>assurer que les EFP ont été présentés en utilisant la monnaie fonctionnelle de l</w:t>
      </w:r>
      <w:r w:rsidR="001A5F5F" w:rsidRPr="00D62677">
        <w:rPr>
          <w:rFonts w:ascii="Times New Roman" w:hAnsi="Times New Roman"/>
          <w:color w:val="000000" w:themeColor="text1"/>
        </w:rPr>
        <w:t>’</w:t>
      </w:r>
      <w:r w:rsidRPr="00D62677">
        <w:rPr>
          <w:rFonts w:ascii="Times New Roman" w:hAnsi="Times New Roman"/>
          <w:color w:val="000000" w:themeColor="text1"/>
        </w:rPr>
        <w:t>emprunteur. Lorsque la monnaie fonctionnelle n</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est pas utilisée aux fins de la présentation des EFP, il est nécessaire de procéder à une conversion </w:t>
      </w:r>
      <w:r w:rsidRPr="00D62677">
        <w:rPr>
          <w:rFonts w:ascii="Times New Roman" w:hAnsi="Times New Roman"/>
          <w:color w:val="000000" w:themeColor="text1"/>
        </w:rPr>
        <w:lastRenderedPageBreak/>
        <w:t xml:space="preserve">intégrale des monnaies. </w:t>
      </w:r>
      <w:r w:rsidR="00032EC8">
        <w:rPr>
          <w:rFonts w:ascii="Times New Roman" w:hAnsi="Times New Roman"/>
        </w:rPr>
        <w:t>L’auditeur</w:t>
      </w:r>
      <w:r w:rsidRPr="00D62677">
        <w:rPr>
          <w:rFonts w:ascii="Times New Roman" w:hAnsi="Times New Roman"/>
        </w:rPr>
        <w:t xml:space="preserve"> doit obtenir de la direction les raisons justifiant l</w:t>
      </w:r>
      <w:r w:rsidR="001A5F5F" w:rsidRPr="00D62677">
        <w:rPr>
          <w:rFonts w:ascii="Times New Roman" w:hAnsi="Times New Roman"/>
        </w:rPr>
        <w:t>’</w:t>
      </w:r>
      <w:r w:rsidRPr="00D62677">
        <w:rPr>
          <w:rFonts w:ascii="Times New Roman" w:hAnsi="Times New Roman"/>
        </w:rPr>
        <w:t xml:space="preserve">utilisation dans la présentation </w:t>
      </w:r>
      <w:r w:rsidR="00032EC8">
        <w:rPr>
          <w:rFonts w:ascii="Times New Roman" w:hAnsi="Times New Roman"/>
        </w:rPr>
        <w:t xml:space="preserve">des états financiers </w:t>
      </w:r>
      <w:r w:rsidRPr="00D62677">
        <w:rPr>
          <w:rFonts w:ascii="Times New Roman" w:hAnsi="Times New Roman"/>
        </w:rPr>
        <w:t>d</w:t>
      </w:r>
      <w:r w:rsidR="001A5F5F" w:rsidRPr="00D62677">
        <w:rPr>
          <w:rFonts w:ascii="Times New Roman" w:hAnsi="Times New Roman"/>
        </w:rPr>
        <w:t>’</w:t>
      </w:r>
      <w:r w:rsidRPr="00D62677">
        <w:rPr>
          <w:rFonts w:ascii="Times New Roman" w:hAnsi="Times New Roman"/>
        </w:rPr>
        <w:t xml:space="preserve">une monnaie différente de </w:t>
      </w:r>
      <w:r w:rsidR="00032EC8">
        <w:rPr>
          <w:rFonts w:ascii="Times New Roman" w:hAnsi="Times New Roman"/>
        </w:rPr>
        <w:t>la monnaie</w:t>
      </w:r>
      <w:r w:rsidR="00032EC8" w:rsidRPr="00D62677">
        <w:rPr>
          <w:rFonts w:ascii="Times New Roman" w:hAnsi="Times New Roman"/>
        </w:rPr>
        <w:t xml:space="preserve"> </w:t>
      </w:r>
      <w:r w:rsidRPr="00D62677">
        <w:rPr>
          <w:rFonts w:ascii="Times New Roman" w:hAnsi="Times New Roman"/>
        </w:rPr>
        <w:t xml:space="preserve">fonctionnelle. </w:t>
      </w:r>
    </w:p>
    <w:p w14:paraId="606FC7F0" w14:textId="0E295208" w:rsidR="00F00A07" w:rsidRPr="00D62677" w:rsidRDefault="00F00A07"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Les états financiers préparés par les responsables du projet ou du programme comprendront les éléments suivants :</w:t>
      </w:r>
    </w:p>
    <w:p w14:paraId="3B563654" w14:textId="171E5B71" w:rsidR="00F00A07" w:rsidRPr="00D62677" w:rsidRDefault="00611437" w:rsidP="00DF2ED1">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t xml:space="preserve">i) </w:t>
      </w:r>
      <w:r w:rsidR="00ED7B7C">
        <w:rPr>
          <w:rFonts w:ascii="Times New Roman" w:hAnsi="Times New Roman"/>
          <w:color w:val="000000" w:themeColor="text1"/>
        </w:rPr>
        <w:tab/>
      </w: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des ressources (fonds reçus de la Banque) et </w:t>
      </w:r>
      <w:r w:rsidR="008701DD">
        <w:rPr>
          <w:rFonts w:ascii="Times New Roman" w:hAnsi="Times New Roman"/>
          <w:color w:val="000000" w:themeColor="text1"/>
        </w:rPr>
        <w:t>d</w:t>
      </w:r>
      <w:r w:rsidR="008701DD" w:rsidRPr="00D62677">
        <w:rPr>
          <w:rFonts w:ascii="Times New Roman" w:hAnsi="Times New Roman"/>
          <w:color w:val="000000" w:themeColor="text1"/>
        </w:rPr>
        <w:t xml:space="preserve">es </w:t>
      </w:r>
      <w:r w:rsidRPr="00D62677">
        <w:rPr>
          <w:rFonts w:ascii="Times New Roman" w:hAnsi="Times New Roman"/>
          <w:color w:val="000000" w:themeColor="text1"/>
        </w:rPr>
        <w:t xml:space="preserve">emplois des fonds (dépenses engagées </w:t>
      </w:r>
      <w:r w:rsidR="002B2577">
        <w:rPr>
          <w:rFonts w:ascii="Times New Roman" w:hAnsi="Times New Roman"/>
          <w:color w:val="000000" w:themeColor="text1"/>
        </w:rPr>
        <w:t>durant la période du projet)</w:t>
      </w:r>
      <w:r w:rsidRPr="00D62677">
        <w:rPr>
          <w:rFonts w:ascii="Times New Roman" w:hAnsi="Times New Roman"/>
          <w:color w:val="000000" w:themeColor="text1"/>
        </w:rPr>
        <w:t> ;</w:t>
      </w:r>
    </w:p>
    <w:p w14:paraId="756EFCD2" w14:textId="4835AE28" w:rsidR="00F00A07" w:rsidRDefault="00F00A07" w:rsidP="00ED7B7C">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ii)</w:t>
      </w:r>
      <w:r w:rsidR="00ED7B7C">
        <w:rPr>
          <w:rFonts w:ascii="Times New Roman" w:hAnsi="Times New Roman"/>
          <w:color w:val="000000" w:themeColor="text1"/>
        </w:rPr>
        <w:tab/>
      </w:r>
      <w:r w:rsidRPr="00D62677">
        <w:rPr>
          <w:rFonts w:ascii="Times New Roman" w:hAnsi="Times New Roman"/>
          <w:color w:val="000000" w:themeColor="text1"/>
        </w:rPr>
        <w:t xml:space="preserve">les notes </w:t>
      </w:r>
      <w:r w:rsidR="004643E3" w:rsidRPr="00D62677">
        <w:rPr>
          <w:rFonts w:ascii="Times New Roman" w:hAnsi="Times New Roman"/>
          <w:color w:val="000000" w:themeColor="text1"/>
        </w:rPr>
        <w:t>accompagnant les</w:t>
      </w:r>
      <w:r w:rsidRPr="00D62677">
        <w:rPr>
          <w:rFonts w:ascii="Times New Roman" w:hAnsi="Times New Roman"/>
          <w:color w:val="000000" w:themeColor="text1"/>
        </w:rPr>
        <w:t xml:space="preserve"> états financiers </w:t>
      </w:r>
      <w:r w:rsidR="00B60451">
        <w:rPr>
          <w:rFonts w:ascii="Times New Roman" w:hAnsi="Times New Roman"/>
          <w:color w:val="000000" w:themeColor="text1"/>
        </w:rPr>
        <w:t xml:space="preserve">comprenant </w:t>
      </w:r>
      <w:r w:rsidRPr="00D62677">
        <w:rPr>
          <w:rFonts w:ascii="Times New Roman" w:hAnsi="Times New Roman"/>
          <w:color w:val="000000" w:themeColor="text1"/>
        </w:rPr>
        <w:t>:</w:t>
      </w:r>
    </w:p>
    <w:p w14:paraId="0A253C27" w14:textId="77777777" w:rsidR="004A0CA8" w:rsidRPr="00D62677" w:rsidRDefault="004A0CA8" w:rsidP="004A0CA8">
      <w:pPr>
        <w:tabs>
          <w:tab w:val="left" w:pos="851"/>
          <w:tab w:val="left" w:pos="1418"/>
          <w:tab w:val="left" w:pos="1843"/>
          <w:tab w:val="left" w:pos="2552"/>
          <w:tab w:val="left" w:pos="2880"/>
        </w:tabs>
        <w:spacing w:before="240" w:after="240" w:line="240" w:lineRule="auto"/>
        <w:ind w:left="1985" w:hanging="567"/>
        <w:jc w:val="both"/>
        <w:rPr>
          <w:rFonts w:ascii="Times New Roman" w:hAnsi="Times New Roman"/>
          <w:color w:val="000000" w:themeColor="text1"/>
        </w:rPr>
      </w:pPr>
      <w:r w:rsidRPr="00D62677">
        <w:rPr>
          <w:rFonts w:ascii="Times New Roman" w:hAnsi="Times New Roman"/>
          <w:color w:val="000000" w:themeColor="text1"/>
        </w:rPr>
        <w:t xml:space="preserve">a) </w:t>
      </w:r>
      <w:r>
        <w:rPr>
          <w:rFonts w:ascii="Times New Roman" w:hAnsi="Times New Roman"/>
          <w:color w:val="000000" w:themeColor="text1"/>
        </w:rPr>
        <w:tab/>
        <w:t>La description d</w:t>
      </w:r>
      <w:r w:rsidRPr="00D62677">
        <w:rPr>
          <w:rFonts w:ascii="Times New Roman" w:hAnsi="Times New Roman"/>
          <w:color w:val="000000" w:themeColor="text1"/>
        </w:rPr>
        <w:t xml:space="preserve">es </w:t>
      </w:r>
      <w:r>
        <w:rPr>
          <w:rFonts w:ascii="Times New Roman" w:hAnsi="Times New Roman"/>
          <w:color w:val="000000" w:themeColor="text1"/>
        </w:rPr>
        <w:t xml:space="preserve">normes et </w:t>
      </w:r>
      <w:r w:rsidRPr="00D62677">
        <w:rPr>
          <w:rFonts w:ascii="Times New Roman" w:hAnsi="Times New Roman"/>
          <w:color w:val="000000" w:themeColor="text1"/>
        </w:rPr>
        <w:t xml:space="preserve">principes comptables </w:t>
      </w:r>
      <w:r>
        <w:rPr>
          <w:rFonts w:ascii="Times New Roman" w:hAnsi="Times New Roman"/>
          <w:color w:val="000000" w:themeColor="text1"/>
        </w:rPr>
        <w:t>utilisés</w:t>
      </w:r>
      <w:r w:rsidRPr="00D62677">
        <w:rPr>
          <w:rFonts w:ascii="Times New Roman" w:hAnsi="Times New Roman"/>
          <w:color w:val="000000" w:themeColor="text1"/>
        </w:rPr>
        <w:t> ;</w:t>
      </w:r>
    </w:p>
    <w:p w14:paraId="518162A8" w14:textId="77777777" w:rsidR="004A0CA8" w:rsidRPr="00D62677" w:rsidRDefault="004A0CA8" w:rsidP="004A0CA8">
      <w:pPr>
        <w:tabs>
          <w:tab w:val="left" w:pos="851"/>
          <w:tab w:val="left" w:pos="1260"/>
          <w:tab w:val="left" w:pos="1418"/>
          <w:tab w:val="left" w:pos="1843"/>
          <w:tab w:val="left" w:pos="2552"/>
          <w:tab w:val="left" w:pos="2880"/>
        </w:tabs>
        <w:spacing w:before="240" w:after="240" w:line="240" w:lineRule="auto"/>
        <w:ind w:left="1985" w:hanging="567"/>
        <w:jc w:val="both"/>
        <w:rPr>
          <w:rFonts w:ascii="Times New Roman" w:hAnsi="Times New Roman"/>
          <w:color w:val="000000" w:themeColor="text1"/>
        </w:rPr>
      </w:pPr>
      <w:r w:rsidRPr="00D62677">
        <w:rPr>
          <w:rFonts w:ascii="Times New Roman" w:hAnsi="Times New Roman"/>
          <w:color w:val="000000" w:themeColor="text1"/>
        </w:rPr>
        <w:t xml:space="preserve">b) </w:t>
      </w:r>
      <w:r>
        <w:rPr>
          <w:rFonts w:ascii="Times New Roman" w:hAnsi="Times New Roman"/>
          <w:color w:val="000000" w:themeColor="text1"/>
        </w:rPr>
        <w:tab/>
        <w:t>L’</w:t>
      </w:r>
      <w:r w:rsidRPr="00D62677">
        <w:rPr>
          <w:rFonts w:ascii="Times New Roman" w:hAnsi="Times New Roman"/>
          <w:color w:val="000000" w:themeColor="text1"/>
        </w:rPr>
        <w:t xml:space="preserve">analyse détaillée des </w:t>
      </w:r>
      <w:r>
        <w:rPr>
          <w:rFonts w:ascii="Times New Roman" w:hAnsi="Times New Roman"/>
          <w:color w:val="000000" w:themeColor="text1"/>
        </w:rPr>
        <w:t>comptes figurant dans les états financiers ;</w:t>
      </w:r>
    </w:p>
    <w:p w14:paraId="6BB2B39A" w14:textId="77777777" w:rsidR="004A0CA8" w:rsidRPr="00842B17" w:rsidRDefault="004A0CA8" w:rsidP="004A0CA8">
      <w:pPr>
        <w:tabs>
          <w:tab w:val="left" w:pos="851"/>
          <w:tab w:val="left" w:pos="1418"/>
          <w:tab w:val="left" w:pos="1843"/>
          <w:tab w:val="left" w:pos="2552"/>
          <w:tab w:val="left" w:pos="2880"/>
        </w:tabs>
        <w:spacing w:before="240" w:after="240" w:line="240" w:lineRule="auto"/>
        <w:ind w:left="1843" w:hanging="425"/>
        <w:jc w:val="both"/>
        <w:rPr>
          <w:rFonts w:ascii="Times New Roman" w:hAnsi="Times New Roman"/>
          <w:color w:val="000000" w:themeColor="text1"/>
        </w:rPr>
      </w:pPr>
      <w:r w:rsidRPr="00D62677">
        <w:rPr>
          <w:rFonts w:ascii="Times New Roman" w:hAnsi="Times New Roman"/>
          <w:color w:val="000000" w:themeColor="text1"/>
        </w:rPr>
        <w:t xml:space="preserve">c) </w:t>
      </w:r>
      <w:r>
        <w:rPr>
          <w:rFonts w:ascii="Times New Roman" w:hAnsi="Times New Roman"/>
          <w:color w:val="000000" w:themeColor="text1"/>
        </w:rPr>
        <w:tab/>
      </w:r>
      <w:r w:rsidRPr="00842B17">
        <w:rPr>
          <w:rFonts w:ascii="Times New Roman" w:hAnsi="Times New Roman"/>
          <w:color w:val="000000" w:themeColor="text1"/>
        </w:rPr>
        <w:t>Un état de rapprochement entre les montants indiqués</w:t>
      </w:r>
      <w:r>
        <w:rPr>
          <w:rFonts w:ascii="Times New Roman" w:hAnsi="Times New Roman"/>
          <w:color w:val="000000" w:themeColor="text1"/>
        </w:rPr>
        <w:t xml:space="preserve"> sous la rubrique « fonds reçus </w:t>
      </w:r>
      <w:r w:rsidRPr="00842B17">
        <w:rPr>
          <w:rFonts w:ascii="Times New Roman" w:hAnsi="Times New Roman"/>
          <w:color w:val="000000" w:themeColor="text1"/>
        </w:rPr>
        <w:t xml:space="preserve">de la Banque » et ceux ayant été décaissés par la Banque. Cet état de rapprochement devra préciser les méthodes de décaissement, à savoir, compte spécial, paiement direct, garantie de remboursement ou méthode de remboursement établissant une correspondance entre les méthodes de décaissement et celles recommandées dans le rapport d’évaluation et la lettre de décaissement. </w:t>
      </w:r>
    </w:p>
    <w:p w14:paraId="57FDE7A1" w14:textId="77777777" w:rsidR="004A0CA8" w:rsidRPr="00842B17" w:rsidRDefault="004A0CA8" w:rsidP="004A0CA8">
      <w:pPr>
        <w:pStyle w:val="Paragraphedeliste"/>
        <w:numPr>
          <w:ilvl w:val="0"/>
          <w:numId w:val="10"/>
        </w:numPr>
        <w:tabs>
          <w:tab w:val="left" w:pos="851"/>
          <w:tab w:val="left" w:pos="1418"/>
          <w:tab w:val="left" w:pos="1985"/>
          <w:tab w:val="left" w:pos="2552"/>
        </w:tabs>
        <w:spacing w:before="240" w:after="240" w:line="240" w:lineRule="auto"/>
        <w:jc w:val="both"/>
        <w:rPr>
          <w:rFonts w:ascii="Times New Roman" w:eastAsia="Arial Unicode MS" w:hAnsi="Times New Roman"/>
          <w:color w:val="000000" w:themeColor="text1"/>
        </w:rPr>
      </w:pPr>
      <w:r w:rsidRPr="00842B17">
        <w:rPr>
          <w:rFonts w:ascii="Times New Roman" w:hAnsi="Times New Roman"/>
          <w:color w:val="000000" w:themeColor="text1"/>
        </w:rPr>
        <w:t xml:space="preserve">La partie du registre des immobilisations présentant une liste exhaustive de toutes les immobilisations acquises grâce aux ressources du projet et le procès-verbal (PV) signé d’inventaire physique réalisé à la fin de la période couverte par l’audit.  La liste devrait comprendre des éléments tels que : la date d’acquisition, le coût d’acquisition, les marques/étiquettes d’identification uniques, le lieu, la date de vérification, l’état et d’autres observations. </w:t>
      </w:r>
    </w:p>
    <w:p w14:paraId="36E69112" w14:textId="5B486CE2" w:rsidR="00F00A07" w:rsidRPr="00D62677" w:rsidRDefault="004264CF" w:rsidP="00DB75E6">
      <w:pPr>
        <w:pStyle w:val="Titre1"/>
        <w:numPr>
          <w:ilvl w:val="0"/>
          <w:numId w:val="9"/>
        </w:numPr>
      </w:pPr>
      <w:bookmarkStart w:id="14" w:name="_Toc410832371"/>
      <w:bookmarkStart w:id="15" w:name="_Toc410988699"/>
      <w:bookmarkStart w:id="16" w:name="_Toc410989111"/>
      <w:bookmarkStart w:id="17" w:name="_Toc4400974"/>
      <w:bookmarkStart w:id="18" w:name="_Toc13816765"/>
      <w:bookmarkStart w:id="19" w:name="_Toc132023893"/>
      <w:r w:rsidRPr="00D62677">
        <w:t>RAPPORT D</w:t>
      </w:r>
      <w:r w:rsidR="001A5F5F" w:rsidRPr="00D62677">
        <w:t>’</w:t>
      </w:r>
      <w:bookmarkEnd w:id="14"/>
      <w:bookmarkEnd w:id="15"/>
      <w:bookmarkEnd w:id="16"/>
      <w:bookmarkEnd w:id="17"/>
      <w:r w:rsidR="007F7CE3">
        <w:t>EXAMEN</w:t>
      </w:r>
      <w:bookmarkEnd w:id="18"/>
      <w:bookmarkEnd w:id="19"/>
    </w:p>
    <w:p w14:paraId="4172F1DA" w14:textId="4B66A67A" w:rsidR="008A41FD" w:rsidRPr="00D62677" w:rsidRDefault="00F00A07"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007F7CE3">
        <w:rPr>
          <w:rFonts w:ascii="Times New Roman" w:hAnsi="Times New Roman"/>
          <w:color w:val="000000" w:themeColor="text1"/>
        </w:rPr>
        <w:t>examen</w:t>
      </w:r>
      <w:r w:rsidRPr="00D62677">
        <w:rPr>
          <w:rFonts w:ascii="Times New Roman" w:hAnsi="Times New Roman"/>
          <w:color w:val="000000" w:themeColor="text1"/>
        </w:rPr>
        <w:t xml:space="preserve"> doit être établi conformément à la norme ISRE 2400 et doit comprendre :</w:t>
      </w:r>
    </w:p>
    <w:p w14:paraId="61C0334F" w14:textId="67EE71EF" w:rsidR="00243AFF" w:rsidRPr="00D62677" w:rsidRDefault="00273106" w:rsidP="00ED7B7C">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b/>
          <w:color w:val="000000" w:themeColor="text1"/>
        </w:rPr>
        <w:t xml:space="preserve">i) </w:t>
      </w:r>
      <w:r w:rsidR="00ED7B7C">
        <w:rPr>
          <w:rFonts w:ascii="Times New Roman" w:hAnsi="Times New Roman"/>
          <w:b/>
          <w:color w:val="000000" w:themeColor="text1"/>
        </w:rPr>
        <w:tab/>
      </w:r>
      <w:r w:rsidRPr="00D62677">
        <w:rPr>
          <w:rFonts w:ascii="Times New Roman" w:hAnsi="Times New Roman"/>
          <w:b/>
          <w:color w:val="000000" w:themeColor="text1"/>
        </w:rPr>
        <w:t>un rapport sur les états financiers ; et</w:t>
      </w:r>
      <w:r w:rsidRPr="00D62677">
        <w:rPr>
          <w:rFonts w:ascii="Times New Roman" w:hAnsi="Times New Roman"/>
          <w:color w:val="000000" w:themeColor="text1"/>
        </w:rPr>
        <w:t xml:space="preserve"> </w:t>
      </w:r>
    </w:p>
    <w:p w14:paraId="1EA48F6E" w14:textId="3C0D7A33" w:rsidR="00F00A07" w:rsidRPr="00D62677" w:rsidRDefault="00273106" w:rsidP="00ED7B7C">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b/>
          <w:color w:val="000000" w:themeColor="text1"/>
        </w:rPr>
        <w:t xml:space="preserve">ii) </w:t>
      </w:r>
      <w:r w:rsidR="00ED7B7C">
        <w:rPr>
          <w:rFonts w:ascii="Times New Roman" w:hAnsi="Times New Roman"/>
          <w:b/>
          <w:color w:val="000000" w:themeColor="text1"/>
        </w:rPr>
        <w:tab/>
      </w:r>
      <w:r w:rsidRPr="00D62677">
        <w:rPr>
          <w:rFonts w:ascii="Times New Roman" w:hAnsi="Times New Roman"/>
          <w:b/>
          <w:color w:val="000000" w:themeColor="text1"/>
        </w:rPr>
        <w:t xml:space="preserve">une </w:t>
      </w:r>
      <w:r w:rsidR="009348E7">
        <w:rPr>
          <w:rFonts w:ascii="Times New Roman" w:hAnsi="Times New Roman"/>
          <w:b/>
          <w:color w:val="000000" w:themeColor="text1"/>
        </w:rPr>
        <w:t>lettre à la direction</w:t>
      </w:r>
      <w:r w:rsidRPr="00D62677">
        <w:rPr>
          <w:rFonts w:ascii="Times New Roman" w:hAnsi="Times New Roman"/>
          <w:b/>
          <w:color w:val="000000" w:themeColor="text1"/>
        </w:rPr>
        <w:t>.</w:t>
      </w:r>
    </w:p>
    <w:p w14:paraId="0C839A4C" w14:textId="77777777" w:rsidR="00537F4D" w:rsidRPr="00D62677" w:rsidRDefault="00F00A07" w:rsidP="00D62677">
      <w:pPr>
        <w:tabs>
          <w:tab w:val="left" w:pos="0"/>
          <w:tab w:val="left" w:pos="851"/>
          <w:tab w:val="left" w:pos="1418"/>
          <w:tab w:val="left" w:pos="1985"/>
          <w:tab w:val="left" w:pos="2552"/>
        </w:tabs>
        <w:spacing w:before="240" w:after="240" w:line="240" w:lineRule="auto"/>
        <w:jc w:val="both"/>
        <w:rPr>
          <w:rFonts w:ascii="Times New Roman" w:hAnsi="Times New Roman"/>
        </w:rPr>
      </w:pPr>
      <w:r w:rsidRPr="00D62677">
        <w:rPr>
          <w:rFonts w:ascii="Times New Roman" w:hAnsi="Times New Roman"/>
          <w:color w:val="000000" w:themeColor="text1"/>
        </w:rPr>
        <w:t xml:space="preserve">Le rapport sur les états financiers sera constitué des éléments suivants :  </w:t>
      </w:r>
    </w:p>
    <w:p w14:paraId="3D124507" w14:textId="52B6F47B" w:rsidR="00243AFF" w:rsidRPr="00D62677" w:rsidRDefault="00F00A07" w:rsidP="00DB75E6">
      <w:pPr>
        <w:pStyle w:val="Paragraphedeliste"/>
        <w:numPr>
          <w:ilvl w:val="0"/>
          <w:numId w:val="4"/>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la déclaration d</w:t>
      </w:r>
      <w:r w:rsidR="001A5F5F" w:rsidRPr="00D62677">
        <w:rPr>
          <w:rFonts w:ascii="Times New Roman" w:hAnsi="Times New Roman"/>
        </w:rPr>
        <w:t>’</w:t>
      </w:r>
      <w:r w:rsidRPr="00D62677">
        <w:rPr>
          <w:rFonts w:ascii="Times New Roman" w:hAnsi="Times New Roman"/>
        </w:rPr>
        <w:t xml:space="preserve">assurance </w:t>
      </w:r>
      <w:r w:rsidR="00EA7C00">
        <w:rPr>
          <w:rFonts w:ascii="Times New Roman" w:hAnsi="Times New Roman"/>
        </w:rPr>
        <w:t>par opinion</w:t>
      </w:r>
      <w:r w:rsidRPr="00D62677">
        <w:rPr>
          <w:rFonts w:ascii="Times New Roman" w:hAnsi="Times New Roman"/>
        </w:rPr>
        <w:t xml:space="preserve">  de </w:t>
      </w:r>
      <w:r w:rsidR="00EA7C00">
        <w:rPr>
          <w:rFonts w:ascii="Times New Roman" w:hAnsi="Times New Roman"/>
        </w:rPr>
        <w:t>l</w:t>
      </w:r>
      <w:r w:rsidR="00032EC8">
        <w:rPr>
          <w:rFonts w:ascii="Times New Roman" w:hAnsi="Times New Roman"/>
        </w:rPr>
        <w:t>’auditeur</w:t>
      </w:r>
      <w:r w:rsidRPr="00D62677">
        <w:rPr>
          <w:rFonts w:ascii="Times New Roman" w:hAnsi="Times New Roman"/>
        </w:rPr>
        <w:t xml:space="preserve"> ; et </w:t>
      </w:r>
    </w:p>
    <w:p w14:paraId="30B438D1" w14:textId="591E5189" w:rsidR="00F00A07" w:rsidRPr="00D62677" w:rsidRDefault="00F00A07" w:rsidP="00DB75E6">
      <w:pPr>
        <w:pStyle w:val="Paragraphedeliste"/>
        <w:numPr>
          <w:ilvl w:val="0"/>
          <w:numId w:val="4"/>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un </w:t>
      </w:r>
      <w:r w:rsidR="00EA7C00">
        <w:rPr>
          <w:rFonts w:ascii="Times New Roman" w:hAnsi="Times New Roman"/>
        </w:rPr>
        <w:t>jeu</w:t>
      </w:r>
      <w:r w:rsidR="00EA7C00" w:rsidRPr="00D62677">
        <w:rPr>
          <w:rFonts w:ascii="Times New Roman" w:hAnsi="Times New Roman"/>
        </w:rPr>
        <w:t xml:space="preserve"> </w:t>
      </w:r>
      <w:r w:rsidRPr="00D62677">
        <w:rPr>
          <w:rFonts w:ascii="Times New Roman" w:hAnsi="Times New Roman"/>
        </w:rPr>
        <w:t xml:space="preserve">complet des états financiers du projet, y compris des notes explicatives, </w:t>
      </w:r>
      <w:r w:rsidR="00345DD5">
        <w:rPr>
          <w:rFonts w:ascii="Times New Roman" w:hAnsi="Times New Roman"/>
        </w:rPr>
        <w:t>comme indiqué à la section 5.3 ci-dessus</w:t>
      </w:r>
      <w:r w:rsidRPr="00D62677">
        <w:rPr>
          <w:rFonts w:ascii="Times New Roman" w:hAnsi="Times New Roman"/>
        </w:rPr>
        <w:t>.</w:t>
      </w:r>
    </w:p>
    <w:p w14:paraId="186D6A89" w14:textId="55BA3139" w:rsidR="008A41FD" w:rsidRPr="00896A3C" w:rsidRDefault="00F00A07" w:rsidP="00D62677">
      <w:pPr>
        <w:tabs>
          <w:tab w:val="left" w:pos="851"/>
          <w:tab w:val="left" w:pos="1418"/>
          <w:tab w:val="left" w:pos="1985"/>
          <w:tab w:val="left" w:pos="2552"/>
        </w:tabs>
        <w:spacing w:before="240" w:after="240" w:line="240" w:lineRule="auto"/>
        <w:jc w:val="both"/>
        <w:rPr>
          <w:rFonts w:ascii="Times New Roman" w:hAnsi="Times New Roman"/>
          <w:spacing w:val="-3"/>
        </w:rPr>
      </w:pPr>
      <w:r w:rsidRPr="00820600">
        <w:rPr>
          <w:rFonts w:ascii="Times New Roman" w:hAnsi="Times New Roman"/>
        </w:rPr>
        <w:t xml:space="preserve">La </w:t>
      </w:r>
      <w:r w:rsidR="009348E7" w:rsidRPr="00820600">
        <w:rPr>
          <w:rFonts w:ascii="Times New Roman" w:hAnsi="Times New Roman"/>
        </w:rPr>
        <w:t>lettre à la direction</w:t>
      </w:r>
      <w:r w:rsidRPr="00820600">
        <w:rPr>
          <w:rFonts w:ascii="Times New Roman" w:hAnsi="Times New Roman"/>
        </w:rPr>
        <w:t> :</w:t>
      </w:r>
      <w:r w:rsidRPr="00896A3C">
        <w:rPr>
          <w:rFonts w:ascii="Times New Roman" w:hAnsi="Times New Roman"/>
        </w:rPr>
        <w:t xml:space="preserve"> </w:t>
      </w:r>
    </w:p>
    <w:p w14:paraId="54901A93" w14:textId="7C14795A" w:rsidR="00243AFF" w:rsidRPr="00D62677" w:rsidRDefault="008A41FD" w:rsidP="00DB75E6">
      <w:pPr>
        <w:pStyle w:val="Paragraphedeliste"/>
        <w:numPr>
          <w:ilvl w:val="0"/>
          <w:numId w:val="5"/>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color w:val="000000" w:themeColor="text1"/>
        </w:rPr>
      </w:pPr>
      <w:r w:rsidRPr="00D62677">
        <w:rPr>
          <w:rFonts w:ascii="Times New Roman" w:hAnsi="Times New Roman"/>
          <w:color w:val="000000" w:themeColor="text1"/>
        </w:rPr>
        <w:t xml:space="preserve">recensera les lacunes et les faiblesses relevées dans </w:t>
      </w:r>
      <w:r w:rsidR="001D1B97" w:rsidRPr="00D62677">
        <w:rPr>
          <w:rFonts w:ascii="Times New Roman" w:hAnsi="Times New Roman"/>
          <w:color w:val="000000" w:themeColor="text1"/>
        </w:rPr>
        <w:t>le</w:t>
      </w:r>
      <w:r w:rsidR="001D1B97">
        <w:rPr>
          <w:rFonts w:ascii="Times New Roman" w:hAnsi="Times New Roman"/>
          <w:color w:val="000000" w:themeColor="text1"/>
        </w:rPr>
        <w:t>s</w:t>
      </w:r>
      <w:r w:rsidR="001D1B97" w:rsidRPr="00D62677">
        <w:rPr>
          <w:rFonts w:ascii="Times New Roman" w:hAnsi="Times New Roman"/>
          <w:color w:val="000000" w:themeColor="text1"/>
        </w:rPr>
        <w:t xml:space="preserve"> systèmes</w:t>
      </w:r>
      <w:r w:rsidRPr="00D62677">
        <w:rPr>
          <w:rFonts w:ascii="Times New Roman" w:hAnsi="Times New Roman"/>
          <w:color w:val="000000" w:themeColor="text1"/>
        </w:rPr>
        <w:t xml:space="preserve"> </w:t>
      </w:r>
      <w:r w:rsidR="00896A3C">
        <w:rPr>
          <w:rFonts w:ascii="Times New Roman" w:hAnsi="Times New Roman"/>
          <w:color w:val="000000" w:themeColor="text1"/>
        </w:rPr>
        <w:t xml:space="preserve">et les </w:t>
      </w:r>
      <w:r w:rsidRPr="00D62677">
        <w:rPr>
          <w:rFonts w:ascii="Times New Roman" w:hAnsi="Times New Roman"/>
          <w:color w:val="000000" w:themeColor="text1"/>
        </w:rPr>
        <w:t xml:space="preserve"> contrôle</w:t>
      </w:r>
      <w:r w:rsidR="00896A3C">
        <w:rPr>
          <w:rFonts w:ascii="Times New Roman" w:hAnsi="Times New Roman"/>
          <w:color w:val="000000" w:themeColor="text1"/>
        </w:rPr>
        <w:t>s</w:t>
      </w:r>
      <w:r w:rsidRPr="00D62677">
        <w:rPr>
          <w:rFonts w:ascii="Times New Roman" w:hAnsi="Times New Roman"/>
          <w:color w:val="000000" w:themeColor="text1"/>
        </w:rPr>
        <w:t> ;</w:t>
      </w:r>
    </w:p>
    <w:p w14:paraId="22B3313A" w14:textId="1CEAE270" w:rsidR="00243AFF" w:rsidRPr="00D62677" w:rsidRDefault="008A41FD" w:rsidP="00DB75E6">
      <w:pPr>
        <w:pStyle w:val="Paragraphedeliste"/>
        <w:numPr>
          <w:ilvl w:val="0"/>
          <w:numId w:val="5"/>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color w:val="000000" w:themeColor="text1"/>
          <w:spacing w:val="-3"/>
        </w:rPr>
      </w:pPr>
      <w:r w:rsidRPr="00D62677">
        <w:rPr>
          <w:rFonts w:ascii="Times New Roman" w:hAnsi="Times New Roman"/>
          <w:color w:val="000000" w:themeColor="text1"/>
        </w:rPr>
        <w:t xml:space="preserve">fera le point sur </w:t>
      </w:r>
      <w:r w:rsidR="00896A3C">
        <w:rPr>
          <w:rFonts w:ascii="Times New Roman" w:hAnsi="Times New Roman"/>
          <w:color w:val="000000" w:themeColor="text1"/>
        </w:rPr>
        <w:t>la justification appropriée des</w:t>
      </w:r>
      <w:r w:rsidRPr="00D62677">
        <w:rPr>
          <w:rFonts w:ascii="Times New Roman" w:hAnsi="Times New Roman"/>
          <w:color w:val="000000" w:themeColor="text1"/>
        </w:rPr>
        <w:t xml:space="preserve"> comptes spéciaux et, dans le cas particulier de la mission d</w:t>
      </w:r>
      <w:r w:rsidR="001A5F5F" w:rsidRPr="00D62677">
        <w:rPr>
          <w:rFonts w:ascii="Times New Roman" w:hAnsi="Times New Roman"/>
          <w:color w:val="000000" w:themeColor="text1"/>
        </w:rPr>
        <w:t>’</w:t>
      </w:r>
      <w:r w:rsidR="007F7CE3">
        <w:rPr>
          <w:rFonts w:ascii="Times New Roman" w:hAnsi="Times New Roman"/>
          <w:color w:val="000000" w:themeColor="text1"/>
        </w:rPr>
        <w:t>examen</w:t>
      </w:r>
      <w:r w:rsidRPr="00D62677">
        <w:rPr>
          <w:rFonts w:ascii="Times New Roman" w:hAnsi="Times New Roman"/>
          <w:color w:val="000000" w:themeColor="text1"/>
        </w:rPr>
        <w:t xml:space="preserve"> final</w:t>
      </w:r>
      <w:r w:rsidR="004264CF" w:rsidRPr="00D62677">
        <w:rPr>
          <w:rFonts w:ascii="Times New Roman" w:hAnsi="Times New Roman"/>
          <w:color w:val="000000" w:themeColor="text1"/>
        </w:rPr>
        <w:t>e</w:t>
      </w:r>
      <w:r w:rsidRPr="00D62677">
        <w:rPr>
          <w:rFonts w:ascii="Times New Roman" w:hAnsi="Times New Roman"/>
          <w:color w:val="000000" w:themeColor="text1"/>
        </w:rPr>
        <w:t>, indiquera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des mesures prises par les responsables du projet ou du programme pour </w:t>
      </w:r>
      <w:r w:rsidR="00896A3C">
        <w:rPr>
          <w:rFonts w:ascii="Times New Roman" w:hAnsi="Times New Roman"/>
          <w:color w:val="000000" w:themeColor="text1"/>
        </w:rPr>
        <w:t>régulariser</w:t>
      </w:r>
      <w:r w:rsidRPr="00D62677">
        <w:rPr>
          <w:rFonts w:ascii="Times New Roman" w:hAnsi="Times New Roman"/>
          <w:color w:val="000000" w:themeColor="text1"/>
        </w:rPr>
        <w:t xml:space="preserve"> les soldes non </w:t>
      </w:r>
      <w:r w:rsidR="00896A3C">
        <w:rPr>
          <w:rFonts w:ascii="Times New Roman" w:hAnsi="Times New Roman"/>
          <w:color w:val="000000" w:themeColor="text1"/>
        </w:rPr>
        <w:t>justifiés</w:t>
      </w:r>
      <w:r w:rsidRPr="00D62677">
        <w:rPr>
          <w:rFonts w:ascii="Times New Roman" w:hAnsi="Times New Roman"/>
          <w:color w:val="000000" w:themeColor="text1"/>
        </w:rPr>
        <w:t xml:space="preserve"> des comptes spéciaux dans les livres de la Banque et les soldes </w:t>
      </w:r>
      <w:r w:rsidR="00896A3C">
        <w:rPr>
          <w:rFonts w:ascii="Times New Roman" w:hAnsi="Times New Roman"/>
          <w:color w:val="000000" w:themeColor="text1"/>
        </w:rPr>
        <w:t xml:space="preserve">des comptes spéciaux eux-mêmes </w:t>
      </w:r>
      <w:r w:rsidRPr="00D62677">
        <w:rPr>
          <w:rFonts w:ascii="Times New Roman" w:hAnsi="Times New Roman"/>
          <w:color w:val="000000" w:themeColor="text1"/>
        </w:rPr>
        <w:t xml:space="preserve"> </w:t>
      </w:r>
      <w:r w:rsidR="00896A3C">
        <w:rPr>
          <w:rFonts w:ascii="Times New Roman" w:hAnsi="Times New Roman"/>
          <w:color w:val="000000" w:themeColor="text1"/>
        </w:rPr>
        <w:t>dans les banques</w:t>
      </w:r>
      <w:r w:rsidRPr="00D62677">
        <w:rPr>
          <w:rFonts w:ascii="Times New Roman" w:hAnsi="Times New Roman"/>
          <w:color w:val="000000" w:themeColor="text1"/>
        </w:rPr>
        <w:t xml:space="preserve">; </w:t>
      </w:r>
    </w:p>
    <w:p w14:paraId="08AF3A14" w14:textId="534597E1" w:rsidR="007830D0" w:rsidRPr="00D62677" w:rsidRDefault="00CD04FC" w:rsidP="00DB75E6">
      <w:pPr>
        <w:pStyle w:val="Paragraphedeliste"/>
        <w:numPr>
          <w:ilvl w:val="0"/>
          <w:numId w:val="5"/>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color w:val="000000" w:themeColor="text1"/>
        </w:rPr>
      </w:pPr>
      <w:r>
        <w:rPr>
          <w:rFonts w:ascii="Times New Roman" w:hAnsi="Times New Roman"/>
          <w:color w:val="000000" w:themeColor="text1"/>
        </w:rPr>
        <w:t>identifiera</w:t>
      </w:r>
      <w:r w:rsidRPr="00D62677">
        <w:rPr>
          <w:rFonts w:ascii="Times New Roman" w:hAnsi="Times New Roman"/>
          <w:color w:val="000000" w:themeColor="text1"/>
        </w:rPr>
        <w:t xml:space="preserve"> </w:t>
      </w:r>
      <w:r w:rsidR="008A41FD" w:rsidRPr="00D62677">
        <w:rPr>
          <w:rFonts w:ascii="Times New Roman" w:hAnsi="Times New Roman"/>
          <w:color w:val="000000" w:themeColor="text1"/>
        </w:rPr>
        <w:t>les lacunes et les faiblesses relevées au cours de l</w:t>
      </w:r>
      <w:r w:rsidR="001A5F5F" w:rsidRPr="00D62677">
        <w:rPr>
          <w:rFonts w:ascii="Times New Roman" w:hAnsi="Times New Roman"/>
          <w:color w:val="000000" w:themeColor="text1"/>
        </w:rPr>
        <w:t>’</w:t>
      </w:r>
      <w:r w:rsidR="008A41FD" w:rsidRPr="00D62677">
        <w:rPr>
          <w:rFonts w:ascii="Times New Roman" w:hAnsi="Times New Roman"/>
          <w:color w:val="000000" w:themeColor="text1"/>
        </w:rPr>
        <w:t>examen des rapports d</w:t>
      </w:r>
      <w:r w:rsidR="001A5F5F" w:rsidRPr="00D62677">
        <w:rPr>
          <w:rFonts w:ascii="Times New Roman" w:hAnsi="Times New Roman"/>
          <w:color w:val="000000" w:themeColor="text1"/>
        </w:rPr>
        <w:t>’</w:t>
      </w:r>
      <w:r w:rsidR="008A41FD" w:rsidRPr="00D62677">
        <w:rPr>
          <w:rFonts w:ascii="Times New Roman" w:hAnsi="Times New Roman"/>
          <w:color w:val="000000" w:themeColor="text1"/>
        </w:rPr>
        <w:t xml:space="preserve">étape </w:t>
      </w:r>
      <w:r w:rsidR="00AE7F64">
        <w:rPr>
          <w:rFonts w:ascii="Times New Roman" w:hAnsi="Times New Roman"/>
          <w:color w:val="000000" w:themeColor="text1"/>
        </w:rPr>
        <w:t>²</w:t>
      </w:r>
      <w:r w:rsidR="008A41FD" w:rsidRPr="00D62677">
        <w:rPr>
          <w:rFonts w:ascii="Times New Roman" w:hAnsi="Times New Roman"/>
          <w:color w:val="000000" w:themeColor="text1"/>
        </w:rPr>
        <w:t>technique des projets ou des programmes (concernant le rythme d</w:t>
      </w:r>
      <w:r w:rsidR="001A5F5F" w:rsidRPr="00D62677">
        <w:rPr>
          <w:rFonts w:ascii="Times New Roman" w:hAnsi="Times New Roman"/>
          <w:color w:val="000000" w:themeColor="text1"/>
        </w:rPr>
        <w:t>’</w:t>
      </w:r>
      <w:r w:rsidR="008A41FD" w:rsidRPr="00D62677">
        <w:rPr>
          <w:rFonts w:ascii="Times New Roman" w:hAnsi="Times New Roman"/>
          <w:color w:val="000000" w:themeColor="text1"/>
        </w:rPr>
        <w:t xml:space="preserve">exécution, les coûts, le </w:t>
      </w:r>
      <w:r w:rsidR="008A41FD" w:rsidRPr="00D62677">
        <w:rPr>
          <w:rFonts w:ascii="Times New Roman" w:hAnsi="Times New Roman"/>
          <w:color w:val="000000" w:themeColor="text1"/>
        </w:rPr>
        <w:lastRenderedPageBreak/>
        <w:t xml:space="preserve">respect des spécifications techniques et autres) et formulera des recommandations en vue de les corriger ;  </w:t>
      </w:r>
    </w:p>
    <w:p w14:paraId="65E0DCDC" w14:textId="3AA662DC" w:rsidR="00F00A07" w:rsidRPr="00D62677" w:rsidRDefault="008A41FD" w:rsidP="00DB75E6">
      <w:pPr>
        <w:pStyle w:val="Paragraphedeliste"/>
        <w:numPr>
          <w:ilvl w:val="0"/>
          <w:numId w:val="5"/>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color w:val="000000" w:themeColor="text1"/>
        </w:rPr>
      </w:pPr>
      <w:r w:rsidRPr="00D62677">
        <w:rPr>
          <w:rFonts w:ascii="Times New Roman" w:hAnsi="Times New Roman"/>
          <w:color w:val="000000" w:themeColor="text1"/>
        </w:rPr>
        <w:t xml:space="preserve">comportera les réactions et les observations de la direction concernant les recommandations et les faiblesses relevées par </w:t>
      </w:r>
      <w:r w:rsidR="00820600">
        <w:rPr>
          <w:rFonts w:ascii="Times New Roman" w:hAnsi="Times New Roman"/>
          <w:color w:val="000000" w:themeColor="text1"/>
        </w:rPr>
        <w:t>l</w:t>
      </w:r>
      <w:r w:rsidR="00032EC8">
        <w:rPr>
          <w:rFonts w:ascii="Times New Roman" w:hAnsi="Times New Roman"/>
          <w:color w:val="000000" w:themeColor="text1"/>
        </w:rPr>
        <w:t>’auditeur</w:t>
      </w:r>
      <w:r w:rsidR="002F1FB3" w:rsidRPr="00D62677">
        <w:rPr>
          <w:rFonts w:ascii="Times New Roman" w:hAnsi="Times New Roman"/>
          <w:color w:val="000000" w:themeColor="text1"/>
        </w:rPr>
        <w:t>. L</w:t>
      </w:r>
      <w:r w:rsidRPr="00D62677">
        <w:rPr>
          <w:rFonts w:ascii="Times New Roman" w:hAnsi="Times New Roman"/>
          <w:color w:val="000000" w:themeColor="text1"/>
        </w:rPr>
        <w:t xml:space="preserve">es dépenses </w:t>
      </w:r>
      <w:r w:rsidR="002F1FB3" w:rsidRPr="00D62677">
        <w:rPr>
          <w:rFonts w:ascii="Times New Roman" w:hAnsi="Times New Roman"/>
          <w:color w:val="000000" w:themeColor="text1"/>
        </w:rPr>
        <w:t xml:space="preserve">jugées </w:t>
      </w:r>
      <w:r w:rsidRPr="00D62677">
        <w:rPr>
          <w:rFonts w:ascii="Times New Roman" w:hAnsi="Times New Roman"/>
          <w:color w:val="000000" w:themeColor="text1"/>
        </w:rPr>
        <w:t>inéligibles ayant été financées sur le(s) compte(s) s</w:t>
      </w:r>
      <w:r w:rsidR="002F1FB3" w:rsidRPr="00D62677">
        <w:rPr>
          <w:rFonts w:ascii="Times New Roman" w:hAnsi="Times New Roman"/>
          <w:color w:val="000000" w:themeColor="text1"/>
        </w:rPr>
        <w:t>pécial/spéciaux ou ayant fait l</w:t>
      </w:r>
      <w:r w:rsidR="001A5F5F" w:rsidRPr="00D62677">
        <w:rPr>
          <w:rFonts w:ascii="Times New Roman" w:hAnsi="Times New Roman"/>
          <w:color w:val="000000" w:themeColor="text1"/>
        </w:rPr>
        <w:t>’</w:t>
      </w:r>
      <w:r w:rsidRPr="00D62677">
        <w:rPr>
          <w:rFonts w:ascii="Times New Roman" w:hAnsi="Times New Roman"/>
          <w:color w:val="000000" w:themeColor="text1"/>
        </w:rPr>
        <w:t>objet d</w:t>
      </w:r>
      <w:r w:rsidR="001A5F5F" w:rsidRPr="00D62677">
        <w:rPr>
          <w:rFonts w:ascii="Times New Roman" w:hAnsi="Times New Roman"/>
          <w:color w:val="000000" w:themeColor="text1"/>
        </w:rPr>
        <w:t>’</w:t>
      </w:r>
      <w:r w:rsidRPr="00D62677">
        <w:rPr>
          <w:rFonts w:ascii="Times New Roman" w:hAnsi="Times New Roman"/>
          <w:color w:val="000000" w:themeColor="text1"/>
        </w:rPr>
        <w:t>une demande à la Banque</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 seront mentionnées dans la </w:t>
      </w:r>
      <w:r w:rsidR="009348E7">
        <w:rPr>
          <w:rFonts w:ascii="Times New Roman" w:hAnsi="Times New Roman"/>
          <w:color w:val="000000" w:themeColor="text1"/>
        </w:rPr>
        <w:t>lettre à la direction</w:t>
      </w:r>
      <w:r w:rsidRPr="00D62677">
        <w:rPr>
          <w:rFonts w:ascii="Times New Roman" w:hAnsi="Times New Roman"/>
          <w:color w:val="000000" w:themeColor="text1"/>
        </w:rPr>
        <w:t xml:space="preserve"> en fonction de leur importance</w:t>
      </w:r>
      <w:r w:rsidR="00CD04FC">
        <w:rPr>
          <w:rFonts w:ascii="Times New Roman" w:hAnsi="Times New Roman"/>
          <w:color w:val="000000" w:themeColor="text1"/>
        </w:rPr>
        <w:t xml:space="preserve"> relative</w:t>
      </w:r>
      <w:r w:rsidRPr="00D62677">
        <w:rPr>
          <w:rFonts w:ascii="Times New Roman" w:hAnsi="Times New Roman"/>
          <w:color w:val="000000" w:themeColor="text1"/>
        </w:rPr>
        <w:t>.</w:t>
      </w:r>
    </w:p>
    <w:p w14:paraId="703480D0" w14:textId="4F503636" w:rsidR="0068262C" w:rsidRPr="00D62677" w:rsidRDefault="007C3A96" w:rsidP="00DB75E6">
      <w:pPr>
        <w:pStyle w:val="Titre1"/>
        <w:numPr>
          <w:ilvl w:val="0"/>
          <w:numId w:val="9"/>
        </w:numPr>
      </w:pPr>
      <w:bookmarkStart w:id="20" w:name="_Toc13816766"/>
      <w:bookmarkStart w:id="21" w:name="_Toc132023894"/>
      <w:r w:rsidRPr="00D62677">
        <w:t xml:space="preserve">EXAMEN DU RAPPORT </w:t>
      </w:r>
      <w:r w:rsidR="00820600">
        <w:t>DE</w:t>
      </w:r>
      <w:r w:rsidRPr="00D62677">
        <w:t xml:space="preserve"> </w:t>
      </w:r>
      <w:r w:rsidR="00032EC8">
        <w:t>L’AUDITEUR</w:t>
      </w:r>
      <w:bookmarkEnd w:id="20"/>
      <w:bookmarkEnd w:id="21"/>
    </w:p>
    <w:p w14:paraId="416B8B3B" w14:textId="01FA409B" w:rsidR="004E5961" w:rsidRPr="00D62677" w:rsidRDefault="004E5961"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La Banque suivra les processus </w:t>
      </w:r>
      <w:r w:rsidR="000834F5">
        <w:rPr>
          <w:rFonts w:ascii="Times New Roman" w:hAnsi="Times New Roman"/>
          <w:color w:val="000000" w:themeColor="text1"/>
        </w:rPr>
        <w:t>de revue</w:t>
      </w:r>
      <w:r w:rsidR="000834F5" w:rsidRPr="00D62677">
        <w:rPr>
          <w:rFonts w:ascii="Times New Roman" w:hAnsi="Times New Roman"/>
          <w:color w:val="000000" w:themeColor="text1"/>
        </w:rPr>
        <w:t xml:space="preserve"> </w:t>
      </w:r>
      <w:r w:rsidRPr="00D62677">
        <w:rPr>
          <w:rFonts w:ascii="Times New Roman" w:hAnsi="Times New Roman"/>
          <w:color w:val="000000" w:themeColor="text1"/>
        </w:rPr>
        <w:t xml:space="preserve">interne et entreprendra un examen exhaustif du rapport de </w:t>
      </w:r>
      <w:r w:rsidR="000834F5">
        <w:rPr>
          <w:rFonts w:ascii="Times New Roman" w:hAnsi="Times New Roman"/>
          <w:color w:val="000000" w:themeColor="text1"/>
        </w:rPr>
        <w:t>l</w:t>
      </w:r>
      <w:r w:rsidR="00032EC8">
        <w:rPr>
          <w:rFonts w:ascii="Times New Roman" w:hAnsi="Times New Roman"/>
          <w:color w:val="000000" w:themeColor="text1"/>
        </w:rPr>
        <w:t>’auditeur</w:t>
      </w:r>
      <w:r w:rsidRPr="00D62677">
        <w:rPr>
          <w:rFonts w:ascii="Times New Roman" w:hAnsi="Times New Roman"/>
          <w:color w:val="000000" w:themeColor="text1"/>
        </w:rPr>
        <w:t xml:space="preserve"> et communiquera à l</w:t>
      </w:r>
      <w:r w:rsidR="001A5F5F" w:rsidRPr="00D62677">
        <w:rPr>
          <w:rFonts w:ascii="Times New Roman" w:hAnsi="Times New Roman"/>
          <w:color w:val="000000" w:themeColor="text1"/>
        </w:rPr>
        <w:t>’</w:t>
      </w:r>
      <w:r w:rsidRPr="00D62677">
        <w:rPr>
          <w:rFonts w:ascii="Times New Roman" w:hAnsi="Times New Roman"/>
          <w:color w:val="000000" w:themeColor="text1"/>
        </w:rPr>
        <w:t>emprunteur ses recommandations pertinentes, notamment en ce qui concerne la recevabilité ou non du rapport.</w:t>
      </w:r>
    </w:p>
    <w:p w14:paraId="2A6FDBE2" w14:textId="69D26672" w:rsidR="004E5961" w:rsidRPr="00D62677" w:rsidRDefault="0068262C"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Dans le cas où </w:t>
      </w:r>
      <w:r w:rsidR="000834F5">
        <w:rPr>
          <w:rFonts w:ascii="Times New Roman" w:hAnsi="Times New Roman"/>
          <w:color w:val="000000" w:themeColor="text1"/>
        </w:rPr>
        <w:t>la mission d’examen</w:t>
      </w:r>
      <w:r w:rsidR="000834F5" w:rsidRPr="00D62677">
        <w:rPr>
          <w:rFonts w:ascii="Times New Roman" w:hAnsi="Times New Roman"/>
          <w:color w:val="000000" w:themeColor="text1"/>
        </w:rPr>
        <w:t xml:space="preserve"> </w:t>
      </w:r>
      <w:r w:rsidRPr="00D62677">
        <w:rPr>
          <w:rFonts w:ascii="Times New Roman" w:hAnsi="Times New Roman"/>
          <w:color w:val="000000" w:themeColor="text1"/>
        </w:rPr>
        <w:t>est réalisé</w:t>
      </w:r>
      <w:r w:rsidR="002F1FB3" w:rsidRPr="00D62677">
        <w:rPr>
          <w:rFonts w:ascii="Times New Roman" w:hAnsi="Times New Roman"/>
          <w:color w:val="000000" w:themeColor="text1"/>
        </w:rPr>
        <w:t>e</w:t>
      </w:r>
      <w:r w:rsidRPr="00D62677">
        <w:rPr>
          <w:rFonts w:ascii="Times New Roman" w:hAnsi="Times New Roman"/>
          <w:color w:val="000000" w:themeColor="text1"/>
        </w:rPr>
        <w:t xml:space="preserve"> par un </w:t>
      </w:r>
      <w:r w:rsidR="000834F5">
        <w:rPr>
          <w:rFonts w:ascii="Times New Roman" w:hAnsi="Times New Roman"/>
          <w:color w:val="000000" w:themeColor="text1"/>
        </w:rPr>
        <w:t>auditeur</w:t>
      </w:r>
      <w:r w:rsidR="000834F5" w:rsidRPr="00D62677">
        <w:rPr>
          <w:rFonts w:ascii="Times New Roman" w:hAnsi="Times New Roman"/>
          <w:color w:val="000000" w:themeColor="text1"/>
        </w:rPr>
        <w:t xml:space="preserve"> </w:t>
      </w:r>
      <w:r w:rsidRPr="00D62677">
        <w:rPr>
          <w:rFonts w:ascii="Times New Roman" w:hAnsi="Times New Roman"/>
          <w:color w:val="000000" w:themeColor="text1"/>
        </w:rPr>
        <w:t xml:space="preserve">privé, le paiement des honoraires de </w:t>
      </w:r>
      <w:r w:rsidR="002F1FB3" w:rsidRPr="00D62677">
        <w:rPr>
          <w:rFonts w:ascii="Times New Roman" w:hAnsi="Times New Roman"/>
          <w:color w:val="000000" w:themeColor="text1"/>
        </w:rPr>
        <w:t>ce dernier</w:t>
      </w:r>
      <w:r w:rsidRPr="00D62677">
        <w:rPr>
          <w:rFonts w:ascii="Times New Roman" w:hAnsi="Times New Roman"/>
          <w:color w:val="000000" w:themeColor="text1"/>
        </w:rPr>
        <w:t xml:space="preserve"> est effectué après examen et approbation du rapport par la Banque.</w:t>
      </w:r>
    </w:p>
    <w:p w14:paraId="63A3D7B5" w14:textId="5AC21663" w:rsidR="0068262C" w:rsidRPr="00D62677" w:rsidRDefault="0068262C"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La Banque se réserve le droit de demander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examiner les documents de travail de </w:t>
      </w:r>
      <w:r w:rsidR="000834F5">
        <w:rPr>
          <w:rFonts w:ascii="Times New Roman" w:hAnsi="Times New Roman"/>
          <w:color w:val="000000" w:themeColor="text1"/>
        </w:rPr>
        <w:t>l</w:t>
      </w:r>
      <w:r w:rsidR="00032EC8">
        <w:rPr>
          <w:rFonts w:ascii="Times New Roman" w:hAnsi="Times New Roman"/>
          <w:color w:val="000000" w:themeColor="text1"/>
        </w:rPr>
        <w:t>’auditeur</w:t>
      </w:r>
      <w:r w:rsidRPr="00D62677">
        <w:rPr>
          <w:rFonts w:ascii="Times New Roman" w:hAnsi="Times New Roman"/>
          <w:color w:val="000000" w:themeColor="text1"/>
        </w:rPr>
        <w:t xml:space="preserve"> ainsi que toute autre information relative au travail qu</w:t>
      </w:r>
      <w:r w:rsidR="001A5F5F" w:rsidRPr="00D62677">
        <w:rPr>
          <w:rFonts w:ascii="Times New Roman" w:hAnsi="Times New Roman"/>
          <w:color w:val="000000" w:themeColor="text1"/>
        </w:rPr>
        <w:t>’</w:t>
      </w:r>
      <w:r w:rsidRPr="00D62677">
        <w:rPr>
          <w:rFonts w:ascii="Times New Roman" w:hAnsi="Times New Roman"/>
          <w:color w:val="000000" w:themeColor="text1"/>
        </w:rPr>
        <w:t>il a effectué.</w:t>
      </w:r>
    </w:p>
    <w:p w14:paraId="33B43BC7" w14:textId="41821B0D" w:rsidR="00F00A07" w:rsidRPr="00D62677" w:rsidRDefault="00F00A07" w:rsidP="00DB75E6">
      <w:pPr>
        <w:pStyle w:val="Titre1"/>
        <w:numPr>
          <w:ilvl w:val="0"/>
          <w:numId w:val="9"/>
        </w:numPr>
      </w:pPr>
      <w:bookmarkStart w:id="22" w:name="_Toc13816767"/>
      <w:bookmarkStart w:id="23" w:name="_Toc132023895"/>
      <w:r w:rsidRPr="00D62677">
        <w:t>INFORMATIONS GÉNÉRALES</w:t>
      </w:r>
      <w:bookmarkEnd w:id="22"/>
      <w:bookmarkEnd w:id="23"/>
    </w:p>
    <w:p w14:paraId="7ADE4806" w14:textId="079340FA" w:rsidR="00F00A07" w:rsidRPr="00D62677" w:rsidRDefault="00F00A07"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007F7CE3">
        <w:rPr>
          <w:rFonts w:ascii="Times New Roman" w:hAnsi="Times New Roman"/>
          <w:color w:val="000000" w:themeColor="text1"/>
        </w:rPr>
        <w:t>examen</w:t>
      </w:r>
      <w:r w:rsidRPr="00D62677">
        <w:rPr>
          <w:rFonts w:ascii="Times New Roman" w:hAnsi="Times New Roman"/>
          <w:color w:val="000000" w:themeColor="text1"/>
        </w:rPr>
        <w:t xml:space="preserve"> doit parvenir à l</w:t>
      </w:r>
      <w:r w:rsidR="001A5F5F" w:rsidRPr="00D62677">
        <w:rPr>
          <w:rFonts w:ascii="Times New Roman" w:hAnsi="Times New Roman"/>
          <w:color w:val="000000" w:themeColor="text1"/>
        </w:rPr>
        <w:t>’</w:t>
      </w:r>
      <w:r w:rsidRPr="00D62677">
        <w:rPr>
          <w:rFonts w:ascii="Times New Roman" w:hAnsi="Times New Roman"/>
          <w:color w:val="000000" w:themeColor="text1"/>
        </w:rPr>
        <w:t>organe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au plus tard à la date convenue dans le contrat en vue </w:t>
      </w:r>
      <w:r w:rsidR="002F1FB3" w:rsidRPr="00D62677">
        <w:rPr>
          <w:rFonts w:ascii="Times New Roman" w:hAnsi="Times New Roman"/>
          <w:color w:val="000000" w:themeColor="text1"/>
        </w:rPr>
        <w:t>de</w:t>
      </w:r>
      <w:r w:rsidRPr="00D62677">
        <w:rPr>
          <w:rFonts w:ascii="Times New Roman" w:hAnsi="Times New Roman"/>
          <w:color w:val="000000" w:themeColor="text1"/>
        </w:rPr>
        <w:t xml:space="preserve"> la présentation du rapport à la Banque dans les délais prévus dans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w:t>
      </w:r>
      <w:r w:rsidR="000834F5">
        <w:rPr>
          <w:rFonts w:ascii="Times New Roman" w:hAnsi="Times New Roman"/>
          <w:color w:val="000000" w:themeColor="text1"/>
        </w:rPr>
        <w:t>de financement</w:t>
      </w:r>
    </w:p>
    <w:p w14:paraId="3C7DF941" w14:textId="5A20963A" w:rsidR="00F00A07" w:rsidRPr="00D62677" w:rsidRDefault="00032EC8"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Pr>
          <w:rFonts w:ascii="Times New Roman" w:hAnsi="Times New Roman"/>
          <w:color w:val="000000" w:themeColor="text1"/>
        </w:rPr>
        <w:t>L’auditeur</w:t>
      </w:r>
      <w:r w:rsidR="00F00A07" w:rsidRPr="00D62677">
        <w:rPr>
          <w:rFonts w:ascii="Times New Roman" w:hAnsi="Times New Roman"/>
          <w:color w:val="000000" w:themeColor="text1"/>
        </w:rPr>
        <w:t xml:space="preserve"> doit avoir accès à tous les documents juridiques, les correspondances, ainsi qu</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à toutes autres informations relatives au projet ou au programme </w:t>
      </w:r>
      <w:r w:rsidR="002F1FB3" w:rsidRPr="00D62677">
        <w:rPr>
          <w:rFonts w:ascii="Times New Roman" w:hAnsi="Times New Roman"/>
          <w:color w:val="000000" w:themeColor="text1"/>
        </w:rPr>
        <w:t>qu</w:t>
      </w:r>
      <w:r w:rsidR="001A5F5F" w:rsidRPr="00D62677">
        <w:rPr>
          <w:rFonts w:ascii="Times New Roman" w:hAnsi="Times New Roman"/>
          <w:color w:val="000000" w:themeColor="text1"/>
        </w:rPr>
        <w:t>’</w:t>
      </w:r>
      <w:r w:rsidR="002F1FB3" w:rsidRPr="00D62677">
        <w:rPr>
          <w:rFonts w:ascii="Times New Roman" w:hAnsi="Times New Roman"/>
          <w:color w:val="000000" w:themeColor="text1"/>
        </w:rPr>
        <w:t>il juge</w:t>
      </w:r>
      <w:r w:rsidR="00F00A07" w:rsidRPr="00D62677">
        <w:rPr>
          <w:rFonts w:ascii="Times New Roman" w:hAnsi="Times New Roman"/>
          <w:color w:val="000000" w:themeColor="text1"/>
        </w:rPr>
        <w:t xml:space="preserve"> nécessaires. Par ailleurs, </w:t>
      </w:r>
      <w:r w:rsidR="000834F5">
        <w:rPr>
          <w:rFonts w:ascii="Times New Roman" w:hAnsi="Times New Roman"/>
          <w:color w:val="000000" w:themeColor="text1"/>
        </w:rPr>
        <w:t>l</w:t>
      </w:r>
      <w:r>
        <w:rPr>
          <w:rFonts w:ascii="Times New Roman" w:hAnsi="Times New Roman"/>
          <w:color w:val="000000" w:themeColor="text1"/>
        </w:rPr>
        <w:t>’auditeur</w:t>
      </w:r>
      <w:r w:rsidR="00F00A07" w:rsidRPr="00D62677">
        <w:rPr>
          <w:rFonts w:ascii="Times New Roman" w:hAnsi="Times New Roman"/>
          <w:color w:val="000000" w:themeColor="text1"/>
        </w:rPr>
        <w:t xml:space="preserve"> doit obtenir la confirmation directe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encours des montants décaissés. Le chef de projet ou de programme de la Banque peut faciliter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obtention de ces confirmations.</w:t>
      </w:r>
    </w:p>
    <w:p w14:paraId="47CFFBD1" w14:textId="32BB10BC" w:rsidR="00F00A07" w:rsidRPr="00D62677" w:rsidRDefault="000834F5"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Pr>
          <w:rFonts w:ascii="Times New Roman" w:hAnsi="Times New Roman"/>
          <w:color w:val="000000" w:themeColor="text1"/>
        </w:rPr>
        <w:t>L’auditeur</w:t>
      </w:r>
      <w:r w:rsidR="00F00A07" w:rsidRPr="00D62677">
        <w:rPr>
          <w:rFonts w:ascii="Times New Roman" w:hAnsi="Times New Roman"/>
          <w:color w:val="000000" w:themeColor="text1"/>
        </w:rPr>
        <w:t xml:space="preserve"> devra avoir accès à tous les documents et rapports techniques relatifs à la mise en œuvre des projets ou des programmes. </w:t>
      </w:r>
    </w:p>
    <w:p w14:paraId="10FC6C87" w14:textId="6F16F3B0" w:rsidR="00F00A07" w:rsidRPr="00D62677" w:rsidRDefault="00F00A07" w:rsidP="00DB75E6">
      <w:pPr>
        <w:pStyle w:val="Paragraphedeliste"/>
        <w:numPr>
          <w:ilvl w:val="1"/>
          <w:numId w:val="9"/>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 xml:space="preserve">Il est recommandé </w:t>
      </w:r>
      <w:r w:rsidR="000834F5">
        <w:rPr>
          <w:rFonts w:ascii="Times New Roman" w:hAnsi="Times New Roman"/>
          <w:color w:val="000000" w:themeColor="text1"/>
        </w:rPr>
        <w:t>à l’auditeur</w:t>
      </w:r>
      <w:r w:rsidRPr="00D62677">
        <w:rPr>
          <w:rFonts w:ascii="Times New Roman" w:hAnsi="Times New Roman"/>
          <w:color w:val="000000" w:themeColor="text1"/>
        </w:rPr>
        <w:t xml:space="preserve"> de se familiariser avec les documents ci-après, qui peuvent avoir été établis par la Banque :</w:t>
      </w:r>
    </w:p>
    <w:p w14:paraId="3EDC243A" w14:textId="37582223" w:rsidR="00F00A07" w:rsidRPr="00D62677" w:rsidRDefault="005C6FDD" w:rsidP="00261C23">
      <w:pPr>
        <w:tabs>
          <w:tab w:val="left" w:pos="851"/>
          <w:tab w:val="left" w:pos="1418"/>
          <w:tab w:val="left" w:pos="1985"/>
          <w:tab w:val="left" w:pos="2552"/>
        </w:tabs>
        <w:spacing w:before="240" w:after="240" w:line="240" w:lineRule="auto"/>
        <w:ind w:left="360"/>
        <w:jc w:val="both"/>
        <w:rPr>
          <w:rFonts w:ascii="Times New Roman" w:hAnsi="Times New Roman"/>
          <w:color w:val="000000" w:themeColor="text1"/>
          <w:spacing w:val="-3"/>
        </w:rPr>
      </w:pPr>
      <w:r>
        <w:rPr>
          <w:rFonts w:ascii="Times New Roman" w:hAnsi="Times New Roman"/>
          <w:color w:val="000000" w:themeColor="text1"/>
        </w:rPr>
        <w:t xml:space="preserve">a) </w:t>
      </w:r>
      <w:r w:rsidR="00F00A07" w:rsidRPr="00D62677">
        <w:rPr>
          <w:rFonts w:ascii="Times New Roman" w:hAnsi="Times New Roman"/>
          <w:color w:val="000000" w:themeColor="text1"/>
        </w:rPr>
        <w:t>Conditions générales applicables aux accords de don ;</w:t>
      </w:r>
    </w:p>
    <w:p w14:paraId="1E668CDB" w14:textId="6B9320B5" w:rsidR="00F00A07" w:rsidRPr="00D62677" w:rsidRDefault="005C6FDD" w:rsidP="00261C23">
      <w:pPr>
        <w:tabs>
          <w:tab w:val="left" w:pos="851"/>
          <w:tab w:val="left" w:pos="1418"/>
          <w:tab w:val="left" w:pos="1985"/>
          <w:tab w:val="left" w:pos="2552"/>
        </w:tabs>
        <w:spacing w:before="240" w:after="240" w:line="240" w:lineRule="auto"/>
        <w:ind w:left="360"/>
        <w:jc w:val="both"/>
        <w:rPr>
          <w:rFonts w:ascii="Times New Roman" w:hAnsi="Times New Roman"/>
          <w:color w:val="000000" w:themeColor="text1"/>
          <w:spacing w:val="-3"/>
        </w:rPr>
      </w:pPr>
      <w:r>
        <w:rPr>
          <w:rFonts w:ascii="Times New Roman" w:hAnsi="Times New Roman"/>
          <w:color w:val="000000" w:themeColor="text1"/>
        </w:rPr>
        <w:t xml:space="preserve">b) </w:t>
      </w:r>
      <w:r w:rsidR="00F00A07" w:rsidRPr="00D62677">
        <w:rPr>
          <w:rFonts w:ascii="Times New Roman" w:hAnsi="Times New Roman"/>
          <w:color w:val="000000" w:themeColor="text1"/>
        </w:rPr>
        <w:t>Accord de don ;</w:t>
      </w:r>
    </w:p>
    <w:p w14:paraId="5F36617B" w14:textId="17ACCEF0" w:rsidR="00F00A07" w:rsidRPr="00D62677" w:rsidRDefault="00225C51" w:rsidP="00261C23">
      <w:pPr>
        <w:tabs>
          <w:tab w:val="left" w:pos="851"/>
          <w:tab w:val="left" w:pos="1418"/>
          <w:tab w:val="left" w:pos="1985"/>
          <w:tab w:val="left" w:pos="2552"/>
        </w:tabs>
        <w:spacing w:before="240" w:after="240" w:line="240" w:lineRule="auto"/>
        <w:ind w:left="360"/>
        <w:jc w:val="both"/>
        <w:rPr>
          <w:rFonts w:ascii="Times New Roman" w:hAnsi="Times New Roman"/>
          <w:color w:val="000000" w:themeColor="text1"/>
          <w:spacing w:val="-3"/>
        </w:rPr>
      </w:pPr>
      <w:r>
        <w:rPr>
          <w:rFonts w:ascii="Times New Roman" w:hAnsi="Times New Roman"/>
          <w:color w:val="000000" w:themeColor="text1"/>
        </w:rPr>
        <w:t xml:space="preserve">c) </w:t>
      </w:r>
      <w:r w:rsidR="00BE09EC" w:rsidRPr="00D62677">
        <w:rPr>
          <w:rFonts w:ascii="Times New Roman" w:hAnsi="Times New Roman"/>
          <w:color w:val="000000" w:themeColor="text1"/>
        </w:rPr>
        <w:t>Rapport d</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évaluation du projet ou du programme ;</w:t>
      </w:r>
    </w:p>
    <w:p w14:paraId="4446A72A" w14:textId="04904BE4" w:rsidR="00D0091F" w:rsidRPr="00D62677" w:rsidRDefault="00225C51" w:rsidP="00261C23">
      <w:pPr>
        <w:tabs>
          <w:tab w:val="left" w:pos="851"/>
          <w:tab w:val="left" w:pos="1418"/>
          <w:tab w:val="left" w:pos="1985"/>
          <w:tab w:val="left" w:pos="2552"/>
        </w:tabs>
        <w:spacing w:before="240" w:after="240" w:line="240" w:lineRule="auto"/>
        <w:ind w:left="360"/>
        <w:jc w:val="both"/>
        <w:rPr>
          <w:rFonts w:ascii="Times New Roman" w:hAnsi="Times New Roman"/>
          <w:color w:val="000000" w:themeColor="text1"/>
          <w:spacing w:val="-3"/>
        </w:rPr>
      </w:pPr>
      <w:r>
        <w:rPr>
          <w:rFonts w:ascii="Times New Roman" w:hAnsi="Times New Roman"/>
          <w:color w:val="000000" w:themeColor="text1"/>
        </w:rPr>
        <w:t xml:space="preserve">d) </w:t>
      </w:r>
      <w:r w:rsidR="00D0091F" w:rsidRPr="00D62677">
        <w:rPr>
          <w:rFonts w:ascii="Times New Roman" w:hAnsi="Times New Roman"/>
          <w:color w:val="000000" w:themeColor="text1"/>
        </w:rPr>
        <w:t>Manuel de gestion financière ;</w:t>
      </w:r>
    </w:p>
    <w:p w14:paraId="62293242" w14:textId="203CAD89" w:rsidR="00F00A07" w:rsidRPr="00D62677" w:rsidRDefault="007C030F" w:rsidP="00DF2ED1">
      <w:pPr>
        <w:tabs>
          <w:tab w:val="left" w:pos="851"/>
          <w:tab w:val="left" w:pos="1418"/>
          <w:tab w:val="left" w:pos="1985"/>
          <w:tab w:val="left" w:pos="2552"/>
        </w:tabs>
        <w:spacing w:before="240" w:after="240" w:line="240" w:lineRule="auto"/>
        <w:ind w:left="360"/>
        <w:jc w:val="both"/>
        <w:rPr>
          <w:rFonts w:ascii="Times New Roman" w:hAnsi="Times New Roman"/>
          <w:color w:val="000000" w:themeColor="text1"/>
        </w:rPr>
      </w:pPr>
      <w:r>
        <w:rPr>
          <w:rFonts w:ascii="Times New Roman" w:hAnsi="Times New Roman"/>
          <w:color w:val="000000" w:themeColor="text1"/>
        </w:rPr>
        <w:t xml:space="preserve">g) </w:t>
      </w:r>
      <w:r w:rsidR="00F00A07" w:rsidRPr="00D62677">
        <w:rPr>
          <w:rFonts w:ascii="Times New Roman" w:hAnsi="Times New Roman"/>
          <w:color w:val="000000" w:themeColor="text1"/>
        </w:rPr>
        <w:t>Règles en matière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acquisition biens et services ;</w:t>
      </w:r>
    </w:p>
    <w:p w14:paraId="6179F7C6" w14:textId="6E879A0E" w:rsidR="00F00A07" w:rsidRPr="00D62677" w:rsidRDefault="007C030F" w:rsidP="00261C23">
      <w:pPr>
        <w:tabs>
          <w:tab w:val="left" w:pos="851"/>
          <w:tab w:val="left" w:pos="1418"/>
          <w:tab w:val="left" w:pos="1985"/>
          <w:tab w:val="left" w:pos="2552"/>
        </w:tabs>
        <w:spacing w:before="240" w:after="240" w:line="240" w:lineRule="auto"/>
        <w:jc w:val="both"/>
        <w:rPr>
          <w:rFonts w:ascii="Times New Roman" w:hAnsi="Times New Roman"/>
          <w:color w:val="000000" w:themeColor="text1"/>
        </w:rPr>
      </w:pPr>
      <w:r>
        <w:rPr>
          <w:rFonts w:ascii="Times New Roman" w:hAnsi="Times New Roman"/>
          <w:color w:val="000000" w:themeColor="text1"/>
        </w:rPr>
        <w:t xml:space="preserve">h) </w:t>
      </w:r>
      <w:r w:rsidR="00F00A07" w:rsidRPr="00D62677">
        <w:rPr>
          <w:rFonts w:ascii="Times New Roman" w:hAnsi="Times New Roman"/>
          <w:color w:val="000000" w:themeColor="text1"/>
        </w:rPr>
        <w:t>Études techniques réalisées pour la mise en œuvre du projet ou du programme ;</w:t>
      </w:r>
    </w:p>
    <w:p w14:paraId="52DC78CD" w14:textId="54CAD603" w:rsidR="00A8450C" w:rsidRPr="00261C23" w:rsidRDefault="00F00A07" w:rsidP="00261C23">
      <w:pPr>
        <w:pStyle w:val="Paragraphedeliste"/>
        <w:numPr>
          <w:ilvl w:val="0"/>
          <w:numId w:val="3"/>
        </w:num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261C23">
        <w:rPr>
          <w:rFonts w:ascii="Times New Roman" w:hAnsi="Times New Roman"/>
          <w:color w:val="000000" w:themeColor="text1"/>
        </w:rPr>
        <w:t>Rapport technique d</w:t>
      </w:r>
      <w:r w:rsidR="001A5F5F" w:rsidRPr="00261C23">
        <w:rPr>
          <w:rFonts w:ascii="Times New Roman" w:hAnsi="Times New Roman"/>
          <w:color w:val="000000" w:themeColor="text1"/>
        </w:rPr>
        <w:t>’</w:t>
      </w:r>
      <w:r w:rsidRPr="00261C23">
        <w:rPr>
          <w:rFonts w:ascii="Times New Roman" w:hAnsi="Times New Roman"/>
          <w:color w:val="000000" w:themeColor="text1"/>
        </w:rPr>
        <w:t>avancement du projet ou du programme</w:t>
      </w:r>
      <w:r w:rsidR="00A8450C" w:rsidRPr="00261C23">
        <w:rPr>
          <w:rFonts w:ascii="Times New Roman" w:hAnsi="Times New Roman"/>
          <w:color w:val="000000" w:themeColor="text1"/>
        </w:rPr>
        <w:t> ;</w:t>
      </w:r>
    </w:p>
    <w:p w14:paraId="100ABD34" w14:textId="7A3D9C51" w:rsidR="00A8450C" w:rsidRPr="00261C23" w:rsidRDefault="00A8450C" w:rsidP="00261C23">
      <w:pPr>
        <w:pStyle w:val="Paragraphedeliste"/>
        <w:numPr>
          <w:ilvl w:val="2"/>
          <w:numId w:val="4"/>
        </w:num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261C23">
        <w:rPr>
          <w:rFonts w:ascii="Times New Roman" w:hAnsi="Times New Roman"/>
          <w:color w:val="000000" w:themeColor="text1"/>
        </w:rPr>
        <w:t xml:space="preserve">Aide-mémoire et communications officielles avec la Banque ; </w:t>
      </w:r>
    </w:p>
    <w:p w14:paraId="0709287E" w14:textId="5E2857C4" w:rsidR="00A8450C" w:rsidRPr="00261C23" w:rsidRDefault="00A8450C" w:rsidP="00261C23">
      <w:pPr>
        <w:pStyle w:val="Paragraphedeliste"/>
        <w:numPr>
          <w:ilvl w:val="2"/>
          <w:numId w:val="4"/>
        </w:num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261C23">
        <w:rPr>
          <w:rFonts w:ascii="Times New Roman" w:hAnsi="Times New Roman"/>
          <w:color w:val="000000" w:themeColor="text1"/>
        </w:rPr>
        <w:t xml:space="preserve">Relevés de dépenses utilisés pour demander/justifier le renouvellement des comptes spéciaux et l’état de rapprochement du compte spécial ; </w:t>
      </w:r>
    </w:p>
    <w:p w14:paraId="056330E2" w14:textId="50FEC376" w:rsidR="00A8450C" w:rsidRPr="00261C23" w:rsidRDefault="00A8450C" w:rsidP="00261C23">
      <w:pPr>
        <w:pStyle w:val="Paragraphedeliste"/>
        <w:numPr>
          <w:ilvl w:val="2"/>
          <w:numId w:val="4"/>
        </w:num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261C23">
        <w:rPr>
          <w:rFonts w:ascii="Times New Roman" w:hAnsi="Times New Roman"/>
          <w:color w:val="000000" w:themeColor="text1"/>
        </w:rPr>
        <w:lastRenderedPageBreak/>
        <w:t xml:space="preserve">Rapports financiers intermédiaires établis conformément aux exigences en matière de décaissement ou d’information financière ; </w:t>
      </w:r>
    </w:p>
    <w:p w14:paraId="4DCDD87C" w14:textId="171AF8EC" w:rsidR="00261C23" w:rsidRDefault="005C6604" w:rsidP="00261C23">
      <w:pPr>
        <w:tabs>
          <w:tab w:val="left" w:pos="851"/>
          <w:tab w:val="left" w:pos="1418"/>
          <w:tab w:val="left" w:pos="1985"/>
          <w:tab w:val="left" w:pos="2552"/>
        </w:tabs>
        <w:spacing w:before="240" w:after="240" w:line="240" w:lineRule="auto"/>
        <w:ind w:left="360"/>
        <w:jc w:val="both"/>
        <w:rPr>
          <w:rFonts w:ascii="Times New Roman" w:hAnsi="Times New Roman"/>
          <w:color w:val="000000" w:themeColor="text1"/>
        </w:rPr>
      </w:pPr>
      <w:r>
        <w:rPr>
          <w:rFonts w:ascii="Times New Roman" w:hAnsi="Times New Roman"/>
          <w:color w:val="000000" w:themeColor="text1"/>
        </w:rPr>
        <w:t xml:space="preserve">                          </w:t>
      </w:r>
      <w:r w:rsidR="00A275E4">
        <w:rPr>
          <w:rFonts w:ascii="Times New Roman" w:hAnsi="Times New Roman"/>
          <w:color w:val="000000" w:themeColor="text1"/>
        </w:rPr>
        <w:t>m)</w:t>
      </w:r>
      <w:r>
        <w:rPr>
          <w:rFonts w:ascii="Times New Roman" w:hAnsi="Times New Roman"/>
          <w:color w:val="000000" w:themeColor="text1"/>
        </w:rPr>
        <w:t xml:space="preserve">     </w:t>
      </w:r>
      <w:r w:rsidR="00A8450C" w:rsidRPr="006C54F7">
        <w:rPr>
          <w:rFonts w:ascii="Times New Roman" w:hAnsi="Times New Roman"/>
          <w:color w:val="000000" w:themeColor="text1"/>
        </w:rPr>
        <w:t>Rapports d’audit interne.</w:t>
      </w:r>
      <w:bookmarkStart w:id="24" w:name="_Toc13816768"/>
      <w:bookmarkStart w:id="25" w:name="_Toc132023896"/>
    </w:p>
    <w:p w14:paraId="166BC5E0" w14:textId="26C0B4C6" w:rsidR="00F00A07" w:rsidRPr="00D62677" w:rsidRDefault="005C6FDD" w:rsidP="00261C23">
      <w:pPr>
        <w:tabs>
          <w:tab w:val="left" w:pos="851"/>
          <w:tab w:val="left" w:pos="1418"/>
          <w:tab w:val="left" w:pos="1985"/>
          <w:tab w:val="left" w:pos="2552"/>
        </w:tabs>
        <w:spacing w:before="240" w:after="240" w:line="240" w:lineRule="auto"/>
        <w:ind w:left="360"/>
        <w:jc w:val="both"/>
      </w:pPr>
      <w:r w:rsidRPr="00261C23">
        <w:rPr>
          <w:sz w:val="28"/>
          <w:szCs w:val="28"/>
        </w:rPr>
        <w:t>X</w:t>
      </w:r>
      <w:r w:rsidRPr="004657C5">
        <w:rPr>
          <w:sz w:val="28"/>
          <w:szCs w:val="28"/>
        </w:rPr>
        <w:t xml:space="preserve">.  </w:t>
      </w:r>
      <w:r w:rsidR="00860661" w:rsidRPr="004657C5">
        <w:t>EX</w:t>
      </w:r>
      <w:r w:rsidR="002F1FB3" w:rsidRPr="004657C5">
        <w:t xml:space="preserve">PÉRIENCE ET QUALIFICATIONS </w:t>
      </w:r>
      <w:bookmarkEnd w:id="24"/>
      <w:bookmarkEnd w:id="25"/>
      <w:r w:rsidR="005C6604" w:rsidRPr="004657C5">
        <w:t>DE L’AUDITEUR</w:t>
      </w:r>
    </w:p>
    <w:p w14:paraId="41606E52" w14:textId="77777777" w:rsidR="005C6604" w:rsidRDefault="00032EC8" w:rsidP="005C6604">
      <w:pPr>
        <w:pStyle w:val="Paragraphedeliste"/>
        <w:numPr>
          <w:ilvl w:val="1"/>
          <w:numId w:val="12"/>
        </w:numPr>
        <w:tabs>
          <w:tab w:val="left" w:pos="851"/>
          <w:tab w:val="left" w:pos="1418"/>
          <w:tab w:val="left" w:pos="1985"/>
          <w:tab w:val="left" w:pos="2552"/>
        </w:tabs>
        <w:spacing w:before="240" w:after="240" w:line="240" w:lineRule="auto"/>
        <w:jc w:val="both"/>
        <w:rPr>
          <w:rFonts w:ascii="Times New Roman" w:hAnsi="Times New Roman"/>
          <w:color w:val="000000" w:themeColor="text1"/>
        </w:rPr>
      </w:pPr>
      <w:r w:rsidRPr="005C6604">
        <w:rPr>
          <w:rFonts w:ascii="Times New Roman" w:hAnsi="Times New Roman"/>
          <w:color w:val="000000" w:themeColor="text1"/>
        </w:rPr>
        <w:t>L’auditeur</w:t>
      </w:r>
      <w:r w:rsidR="00F00A07" w:rsidRPr="005C6604">
        <w:rPr>
          <w:rFonts w:ascii="Times New Roman" w:hAnsi="Times New Roman"/>
          <w:color w:val="000000" w:themeColor="text1"/>
        </w:rPr>
        <w:t xml:space="preserve"> doit être enregistré et </w:t>
      </w:r>
      <w:r w:rsidR="002F1FB3" w:rsidRPr="005C6604">
        <w:rPr>
          <w:rFonts w:ascii="Times New Roman" w:hAnsi="Times New Roman"/>
          <w:color w:val="000000" w:themeColor="text1"/>
        </w:rPr>
        <w:t>inscrit</w:t>
      </w:r>
      <w:r w:rsidR="00F00A07" w:rsidRPr="005C6604">
        <w:rPr>
          <w:rFonts w:ascii="Times New Roman" w:hAnsi="Times New Roman"/>
          <w:color w:val="000000" w:themeColor="text1"/>
        </w:rPr>
        <w:t xml:space="preserve"> au tableau d</w:t>
      </w:r>
      <w:r w:rsidR="001A5F5F" w:rsidRPr="005C6604">
        <w:rPr>
          <w:rFonts w:ascii="Times New Roman" w:hAnsi="Times New Roman"/>
          <w:color w:val="000000" w:themeColor="text1"/>
        </w:rPr>
        <w:t>’</w:t>
      </w:r>
      <w:r w:rsidR="00F00A07" w:rsidRPr="005C6604">
        <w:rPr>
          <w:rFonts w:ascii="Times New Roman" w:hAnsi="Times New Roman"/>
          <w:color w:val="000000" w:themeColor="text1"/>
        </w:rPr>
        <w:t xml:space="preserve">un ordre des experts-comptables reconnu </w:t>
      </w:r>
      <w:r w:rsidR="005C6604">
        <w:rPr>
          <w:rFonts w:ascii="Times New Roman" w:hAnsi="Times New Roman"/>
          <w:color w:val="000000" w:themeColor="text1"/>
        </w:rPr>
        <w:t xml:space="preserve">   </w:t>
      </w:r>
    </w:p>
    <w:p w14:paraId="3CA1DDCE" w14:textId="77777777" w:rsidR="005C6604" w:rsidRDefault="005C6604" w:rsidP="005C6604">
      <w:pPr>
        <w:pStyle w:val="Paragraphedeliste"/>
        <w:tabs>
          <w:tab w:val="left" w:pos="851"/>
          <w:tab w:val="left" w:pos="1418"/>
          <w:tab w:val="left" w:pos="1985"/>
          <w:tab w:val="left" w:pos="2552"/>
        </w:tabs>
        <w:spacing w:before="240" w:after="240" w:line="240" w:lineRule="auto"/>
        <w:ind w:left="384"/>
        <w:jc w:val="both"/>
        <w:rPr>
          <w:rFonts w:ascii="Times New Roman" w:hAnsi="Times New Roman"/>
          <w:color w:val="000000" w:themeColor="text1"/>
        </w:rPr>
      </w:pPr>
      <w:r>
        <w:rPr>
          <w:rFonts w:ascii="Times New Roman" w:hAnsi="Times New Roman"/>
          <w:color w:val="000000" w:themeColor="text1"/>
        </w:rPr>
        <w:t xml:space="preserve">        </w:t>
      </w:r>
      <w:r w:rsidR="00F00A07" w:rsidRPr="005C6604">
        <w:rPr>
          <w:rFonts w:ascii="Times New Roman" w:hAnsi="Times New Roman"/>
          <w:color w:val="000000" w:themeColor="text1"/>
        </w:rPr>
        <w:t xml:space="preserve">au plan national ou régional. </w:t>
      </w:r>
      <w:r w:rsidR="002F1FB3" w:rsidRPr="005C6604">
        <w:rPr>
          <w:rFonts w:ascii="Times New Roman" w:hAnsi="Times New Roman"/>
          <w:color w:val="000000" w:themeColor="text1"/>
        </w:rPr>
        <w:t>Il</w:t>
      </w:r>
      <w:r w:rsidR="00F00A07" w:rsidRPr="005C6604">
        <w:rPr>
          <w:rFonts w:ascii="Times New Roman" w:hAnsi="Times New Roman"/>
          <w:color w:val="000000" w:themeColor="text1"/>
        </w:rPr>
        <w:t xml:space="preserve"> doit jouir d</w:t>
      </w:r>
      <w:r w:rsidR="001A5F5F" w:rsidRPr="005C6604">
        <w:rPr>
          <w:rFonts w:ascii="Times New Roman" w:hAnsi="Times New Roman"/>
          <w:color w:val="000000" w:themeColor="text1"/>
        </w:rPr>
        <w:t>’</w:t>
      </w:r>
      <w:r w:rsidR="00F00A07" w:rsidRPr="005C6604">
        <w:rPr>
          <w:rFonts w:ascii="Times New Roman" w:hAnsi="Times New Roman"/>
          <w:color w:val="000000" w:themeColor="text1"/>
        </w:rPr>
        <w:t xml:space="preserve">une expérience confirmée en comptabilité et audit </w:t>
      </w:r>
    </w:p>
    <w:p w14:paraId="743DE645" w14:textId="3642A7C1" w:rsidR="005C6604" w:rsidRDefault="005C6604" w:rsidP="005C6604">
      <w:pPr>
        <w:pStyle w:val="Paragraphedeliste"/>
        <w:tabs>
          <w:tab w:val="left" w:pos="851"/>
          <w:tab w:val="left" w:pos="1418"/>
          <w:tab w:val="left" w:pos="1985"/>
          <w:tab w:val="left" w:pos="2552"/>
        </w:tabs>
        <w:spacing w:before="240" w:after="240" w:line="240" w:lineRule="auto"/>
        <w:ind w:left="384"/>
        <w:jc w:val="both"/>
        <w:rPr>
          <w:rFonts w:ascii="Times New Roman" w:hAnsi="Times New Roman"/>
          <w:color w:val="000000" w:themeColor="text1"/>
        </w:rPr>
      </w:pPr>
      <w:r>
        <w:rPr>
          <w:rFonts w:ascii="Times New Roman" w:hAnsi="Times New Roman"/>
          <w:color w:val="000000" w:themeColor="text1"/>
        </w:rPr>
        <w:t xml:space="preserve">        f</w:t>
      </w:r>
      <w:r w:rsidR="00F00A07" w:rsidRPr="005C6604">
        <w:rPr>
          <w:rFonts w:ascii="Times New Roman" w:hAnsi="Times New Roman"/>
          <w:color w:val="000000" w:themeColor="text1"/>
        </w:rPr>
        <w:t>inancier des projets/programmes de développement, notamment ceux financés par des bailleurs</w:t>
      </w:r>
      <w:r w:rsidR="000834F5" w:rsidRPr="005C6604">
        <w:rPr>
          <w:rFonts w:ascii="Times New Roman" w:hAnsi="Times New Roman"/>
          <w:color w:val="000000" w:themeColor="text1"/>
        </w:rPr>
        <w:t xml:space="preserve"> </w:t>
      </w:r>
    </w:p>
    <w:p w14:paraId="7F98B890" w14:textId="57A2C9F0" w:rsidR="00F00A07" w:rsidRPr="005C6604" w:rsidRDefault="005C6604" w:rsidP="005C6604">
      <w:pPr>
        <w:pStyle w:val="Paragraphedeliste"/>
        <w:tabs>
          <w:tab w:val="left" w:pos="851"/>
          <w:tab w:val="left" w:pos="1418"/>
          <w:tab w:val="left" w:pos="1985"/>
          <w:tab w:val="left" w:pos="2552"/>
        </w:tabs>
        <w:spacing w:before="240" w:after="240" w:line="240" w:lineRule="auto"/>
        <w:ind w:left="384"/>
        <w:jc w:val="both"/>
        <w:rPr>
          <w:rFonts w:ascii="Times New Roman" w:hAnsi="Times New Roman"/>
          <w:color w:val="000000" w:themeColor="text1"/>
        </w:rPr>
      </w:pPr>
      <w:r>
        <w:rPr>
          <w:rFonts w:ascii="Times New Roman" w:hAnsi="Times New Roman"/>
          <w:color w:val="000000" w:themeColor="text1"/>
        </w:rPr>
        <w:t xml:space="preserve">        </w:t>
      </w:r>
      <w:r w:rsidR="000834F5" w:rsidRPr="005C6604">
        <w:rPr>
          <w:rFonts w:ascii="Times New Roman" w:hAnsi="Times New Roman"/>
          <w:color w:val="000000" w:themeColor="text1"/>
        </w:rPr>
        <w:t>de fonds</w:t>
      </w:r>
      <w:r w:rsidR="00F00A07" w:rsidRPr="005C6604">
        <w:rPr>
          <w:rFonts w:ascii="Times New Roman" w:hAnsi="Times New Roman"/>
          <w:color w:val="000000" w:themeColor="text1"/>
        </w:rPr>
        <w:t>.</w:t>
      </w:r>
    </w:p>
    <w:p w14:paraId="20ED5C8F" w14:textId="534A4B6D" w:rsidR="00F00A07" w:rsidRPr="00D62677" w:rsidRDefault="00F00A07" w:rsidP="005C6604">
      <w:pPr>
        <w:pStyle w:val="Paragraphedeliste"/>
        <w:numPr>
          <w:ilvl w:val="1"/>
          <w:numId w:val="12"/>
        </w:numPr>
        <w:tabs>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Le personnel de la mission d</w:t>
      </w:r>
      <w:r w:rsidR="001A5F5F" w:rsidRPr="00D62677">
        <w:rPr>
          <w:rFonts w:ascii="Times New Roman" w:hAnsi="Times New Roman"/>
          <w:color w:val="000000" w:themeColor="text1"/>
        </w:rPr>
        <w:t>’</w:t>
      </w:r>
      <w:r w:rsidR="007F7CE3">
        <w:rPr>
          <w:rFonts w:ascii="Times New Roman" w:hAnsi="Times New Roman"/>
          <w:color w:val="000000" w:themeColor="text1"/>
        </w:rPr>
        <w:t>examen</w:t>
      </w:r>
      <w:r w:rsidR="002F1FB3" w:rsidRPr="00D62677">
        <w:rPr>
          <w:rFonts w:ascii="Times New Roman" w:hAnsi="Times New Roman"/>
          <w:color w:val="000000" w:themeColor="text1"/>
        </w:rPr>
        <w:t xml:space="preserve"> </w:t>
      </w:r>
      <w:r w:rsidRPr="00D62677">
        <w:rPr>
          <w:rFonts w:ascii="Times New Roman" w:hAnsi="Times New Roman"/>
          <w:color w:val="000000" w:themeColor="text1"/>
        </w:rPr>
        <w:t>doit comprendre au moins :</w:t>
      </w:r>
    </w:p>
    <w:p w14:paraId="561F1A17" w14:textId="7A5279E7" w:rsidR="00991F06" w:rsidRPr="00ED7B7C" w:rsidRDefault="00F00A07" w:rsidP="00DB75E6">
      <w:pPr>
        <w:pStyle w:val="Paragraphedeliste"/>
        <w:numPr>
          <w:ilvl w:val="0"/>
          <w:numId w:val="7"/>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color w:val="000000" w:themeColor="text1"/>
        </w:rPr>
      </w:pPr>
      <w:r w:rsidRPr="00D62677">
        <w:rPr>
          <w:rFonts w:ascii="Times New Roman" w:hAnsi="Times New Roman"/>
          <w:color w:val="000000" w:themeColor="text1"/>
        </w:rPr>
        <w:t>Un chef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équipe, comptable professionnel (ACCA, CA, CPA, </w:t>
      </w:r>
      <w:r w:rsidR="00336C6B" w:rsidRPr="00D62677">
        <w:rPr>
          <w:rFonts w:ascii="Times New Roman" w:hAnsi="Times New Roman"/>
          <w:color w:val="000000" w:themeColor="text1"/>
        </w:rPr>
        <w:t>expert-c</w:t>
      </w:r>
      <w:r w:rsidRPr="00D62677">
        <w:rPr>
          <w:rFonts w:ascii="Times New Roman" w:hAnsi="Times New Roman"/>
          <w:color w:val="000000" w:themeColor="text1"/>
        </w:rPr>
        <w:t>omptable) 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10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post-qualification dans le domaine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 et programmes financés par des </w:t>
      </w:r>
      <w:r w:rsidR="002F1FB3" w:rsidRPr="00D62677">
        <w:rPr>
          <w:rFonts w:ascii="Times New Roman" w:hAnsi="Times New Roman"/>
          <w:color w:val="000000" w:themeColor="text1"/>
        </w:rPr>
        <w:t>bailleurs</w:t>
      </w:r>
      <w:r w:rsidRPr="00D62677">
        <w:rPr>
          <w:rFonts w:ascii="Times New Roman" w:hAnsi="Times New Roman"/>
          <w:color w:val="000000" w:themeColor="text1"/>
        </w:rPr>
        <w:t xml:space="preserve"> multilatéraux et dans l</w:t>
      </w:r>
      <w:r w:rsidR="001A5F5F" w:rsidRPr="00D62677">
        <w:rPr>
          <w:rFonts w:ascii="Times New Roman" w:hAnsi="Times New Roman"/>
          <w:color w:val="000000" w:themeColor="text1"/>
        </w:rPr>
        <w:t>’</w:t>
      </w:r>
      <w:r w:rsidRPr="00D62677">
        <w:rPr>
          <w:rFonts w:ascii="Times New Roman" w:hAnsi="Times New Roman"/>
          <w:color w:val="000000" w:themeColor="text1"/>
        </w:rPr>
        <w:t>évaluation des rapports d</w:t>
      </w:r>
      <w:r w:rsidR="001A5F5F" w:rsidRPr="00D62677">
        <w:rPr>
          <w:rFonts w:ascii="Times New Roman" w:hAnsi="Times New Roman"/>
          <w:color w:val="000000" w:themeColor="text1"/>
        </w:rPr>
        <w:t>’</w:t>
      </w:r>
      <w:r w:rsidRPr="00D62677">
        <w:rPr>
          <w:rFonts w:ascii="Times New Roman" w:hAnsi="Times New Roman"/>
          <w:color w:val="000000" w:themeColor="text1"/>
        </w:rPr>
        <w:t>exécution de</w:t>
      </w:r>
      <w:r w:rsidR="000834F5">
        <w:rPr>
          <w:rFonts w:ascii="Times New Roman" w:hAnsi="Times New Roman"/>
          <w:color w:val="000000" w:themeColor="text1"/>
        </w:rPr>
        <w:t>s</w:t>
      </w:r>
      <w:r w:rsidRPr="00D62677">
        <w:rPr>
          <w:rFonts w:ascii="Times New Roman" w:hAnsi="Times New Roman"/>
          <w:color w:val="000000" w:themeColor="text1"/>
        </w:rPr>
        <w:t xml:space="preserve"> projets et de</w:t>
      </w:r>
      <w:r w:rsidR="000834F5">
        <w:rPr>
          <w:rFonts w:ascii="Times New Roman" w:hAnsi="Times New Roman"/>
          <w:color w:val="000000" w:themeColor="text1"/>
        </w:rPr>
        <w:t>s</w:t>
      </w:r>
      <w:r w:rsidRPr="00D62677">
        <w:rPr>
          <w:rFonts w:ascii="Times New Roman" w:hAnsi="Times New Roman"/>
          <w:color w:val="000000" w:themeColor="text1"/>
        </w:rPr>
        <w:t xml:space="preserve"> programmes ; et</w:t>
      </w:r>
    </w:p>
    <w:p w14:paraId="4347D98B" w14:textId="643C7853" w:rsidR="001144C3" w:rsidRDefault="00F00A07" w:rsidP="00DB75E6">
      <w:pPr>
        <w:pStyle w:val="Paragraphedeliste"/>
        <w:numPr>
          <w:ilvl w:val="0"/>
          <w:numId w:val="7"/>
        </w:numPr>
        <w:tabs>
          <w:tab w:val="left" w:pos="851"/>
          <w:tab w:val="left" w:pos="1418"/>
          <w:tab w:val="left" w:pos="1985"/>
          <w:tab w:val="left" w:pos="2552"/>
        </w:tabs>
        <w:spacing w:before="240" w:after="240" w:line="240" w:lineRule="auto"/>
        <w:ind w:left="1418" w:hanging="567"/>
        <w:contextualSpacing w:val="0"/>
        <w:jc w:val="both"/>
        <w:rPr>
          <w:rFonts w:ascii="Eras Medium ITC" w:hAnsi="Eras Medium ITC" w:cs="Calibri Light"/>
          <w:color w:val="000000" w:themeColor="text1"/>
        </w:rPr>
      </w:pPr>
      <w:r w:rsidRPr="00D62677">
        <w:rPr>
          <w:rFonts w:ascii="Times New Roman" w:hAnsi="Times New Roman"/>
          <w:color w:val="000000" w:themeColor="text1"/>
        </w:rPr>
        <w:t>Un ou plusieurs assistant(s) justifiant</w:t>
      </w:r>
      <w:r w:rsidR="000834F5">
        <w:rPr>
          <w:rFonts w:ascii="Times New Roman" w:hAnsi="Times New Roman"/>
          <w:color w:val="000000" w:themeColor="text1"/>
        </w:rPr>
        <w:t xml:space="preserve"> chacun</w:t>
      </w:r>
      <w:r w:rsidRPr="00D62677">
        <w:rPr>
          <w:rFonts w:ascii="Times New Roman" w:hAnsi="Times New Roman"/>
          <w:color w:val="000000" w:themeColor="text1"/>
        </w:rPr>
        <w:t xml:space="preserve"> de 5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dans le domaine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 projets et de programmes multilatéraux financés par </w:t>
      </w:r>
      <w:r w:rsidR="000834F5">
        <w:rPr>
          <w:rFonts w:ascii="Times New Roman" w:hAnsi="Times New Roman"/>
          <w:color w:val="000000" w:themeColor="text1"/>
        </w:rPr>
        <w:t>les</w:t>
      </w:r>
      <w:r w:rsidR="000834F5" w:rsidRPr="00D62677">
        <w:rPr>
          <w:rFonts w:ascii="Times New Roman" w:hAnsi="Times New Roman"/>
          <w:color w:val="000000" w:themeColor="text1"/>
        </w:rPr>
        <w:t xml:space="preserve"> </w:t>
      </w:r>
      <w:r w:rsidR="002F1FB3" w:rsidRPr="00D62677">
        <w:rPr>
          <w:rFonts w:ascii="Times New Roman" w:hAnsi="Times New Roman"/>
          <w:color w:val="000000" w:themeColor="text1"/>
        </w:rPr>
        <w:t>bailleurs</w:t>
      </w:r>
      <w:r w:rsidR="000834F5">
        <w:rPr>
          <w:rFonts w:ascii="Times New Roman" w:hAnsi="Times New Roman"/>
          <w:color w:val="000000" w:themeColor="text1"/>
        </w:rPr>
        <w:t xml:space="preserve"> de fonds</w:t>
      </w:r>
      <w:r>
        <w:rPr>
          <w:rFonts w:ascii="Eras Medium ITC" w:hAnsi="Eras Medium ITC"/>
          <w:color w:val="000000" w:themeColor="text1"/>
        </w:rPr>
        <w:t xml:space="preserve">. </w:t>
      </w:r>
    </w:p>
    <w:sectPr w:rsidR="001144C3" w:rsidSect="00007B03">
      <w:footerReference w:type="default" r:id="rId8"/>
      <w:pgSz w:w="11906" w:h="16838"/>
      <w:pgMar w:top="1260" w:right="1376" w:bottom="1260" w:left="126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9B0A5" w16cex:dateUtc="2023-11-23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40EEF" w16cid:durableId="2909B0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6040E" w14:textId="77777777" w:rsidR="009A7705" w:rsidRDefault="009A7705" w:rsidP="00F00A07">
      <w:pPr>
        <w:spacing w:after="0" w:line="240" w:lineRule="auto"/>
      </w:pPr>
      <w:r>
        <w:separator/>
      </w:r>
    </w:p>
  </w:endnote>
  <w:endnote w:type="continuationSeparator" w:id="0">
    <w:p w14:paraId="76A049D8" w14:textId="77777777" w:rsidR="009A7705" w:rsidRDefault="009A7705" w:rsidP="00F0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E182" w14:textId="4DC25CFC" w:rsidR="00CD04FC" w:rsidRDefault="00CD04FC">
    <w:pPr>
      <w:pStyle w:val="Pieddepage"/>
      <w:jc w:val="center"/>
    </w:pPr>
    <w:r>
      <w:fldChar w:fldCharType="begin"/>
    </w:r>
    <w:r>
      <w:instrText>PAGE   \* MERGEFORMAT</w:instrText>
    </w:r>
    <w:r>
      <w:fldChar w:fldCharType="separate"/>
    </w:r>
    <w:r w:rsidR="005B12DD">
      <w:rPr>
        <w:noProof/>
      </w:rPr>
      <w:t>1</w:t>
    </w:r>
    <w:r>
      <w:fldChar w:fldCharType="end"/>
    </w:r>
  </w:p>
  <w:p w14:paraId="0C93F7D8" w14:textId="77777777" w:rsidR="00CD04FC" w:rsidRPr="005620DF" w:rsidRDefault="00CD04FC" w:rsidP="00B40790">
    <w:pPr>
      <w:pStyle w:val="Pieddepage"/>
      <w:jc w:val="right"/>
      <w:rPr>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E456A" w14:textId="77777777" w:rsidR="009A7705" w:rsidRDefault="009A7705" w:rsidP="00F00A07">
      <w:pPr>
        <w:spacing w:after="0" w:line="240" w:lineRule="auto"/>
      </w:pPr>
      <w:r>
        <w:separator/>
      </w:r>
    </w:p>
  </w:footnote>
  <w:footnote w:type="continuationSeparator" w:id="0">
    <w:p w14:paraId="79B179B0" w14:textId="77777777" w:rsidR="009A7705" w:rsidRDefault="009A7705" w:rsidP="00F00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7FAF"/>
    <w:multiLevelType w:val="multilevel"/>
    <w:tmpl w:val="B4A6E878"/>
    <w:lvl w:ilvl="0">
      <w:start w:val="1"/>
      <w:numFmt w:val="decimal"/>
      <w:lvlText w:val="%1"/>
      <w:lvlJc w:val="left"/>
      <w:pPr>
        <w:ind w:left="384" w:hanging="384"/>
      </w:pPr>
      <w:rPr>
        <w:rFonts w:ascii="Times New Roman" w:eastAsia="Calibri" w:hAnsi="Times New Roman" w:cs="Times New Roman"/>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88A25FE"/>
    <w:multiLevelType w:val="hybridMultilevel"/>
    <w:tmpl w:val="5EE03FDE"/>
    <w:lvl w:ilvl="0" w:tplc="8C0E967A">
      <w:start w:val="1"/>
      <w:numFmt w:val="lowerRoman"/>
      <w:lvlText w:val="%1."/>
      <w:lvlJc w:val="left"/>
      <w:pPr>
        <w:ind w:left="18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2">
    <w:nsid w:val="21E201AA"/>
    <w:multiLevelType w:val="multilevel"/>
    <w:tmpl w:val="7D7A29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start w:val="1"/>
      <w:numFmt w:val="lowerRoman"/>
      <w:lvlText w:val="%3)"/>
      <w:lvlJc w:val="left"/>
      <w:pPr>
        <w:ind w:left="2880" w:hanging="720"/>
      </w:pPr>
      <w:rPr>
        <w:rFonts w:hint="default"/>
        <w:strike w:val="0"/>
      </w:rPr>
    </w:lvl>
    <w:lvl w:ilvl="3">
      <w:start w:val="6"/>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9141638"/>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D43F6"/>
    <w:multiLevelType w:val="multilevel"/>
    <w:tmpl w:val="E31C6630"/>
    <w:lvl w:ilvl="0">
      <w:start w:val="1"/>
      <w:numFmt w:val="upperRoman"/>
      <w:lvlText w:val="%1."/>
      <w:lvlJc w:val="righ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5">
    <w:nsid w:val="3C111C85"/>
    <w:multiLevelType w:val="hybridMultilevel"/>
    <w:tmpl w:val="CEF8A27E"/>
    <w:lvl w:ilvl="0" w:tplc="4AD08606">
      <w:start w:val="1"/>
      <w:numFmt w:val="lowerRoman"/>
      <w:lvlText w:val="%1)"/>
      <w:lvlJc w:val="right"/>
      <w:pPr>
        <w:ind w:left="720" w:hanging="360"/>
      </w:pPr>
      <w:rPr>
        <w:rFonts w:ascii="Times New Roman" w:eastAsia="Calibr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241DC5"/>
    <w:multiLevelType w:val="multilevel"/>
    <w:tmpl w:val="AF7805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0"/>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F33B58"/>
    <w:multiLevelType w:val="hybridMultilevel"/>
    <w:tmpl w:val="65D618AE"/>
    <w:lvl w:ilvl="0" w:tplc="91D650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A553BB6"/>
    <w:multiLevelType w:val="hybridMultilevel"/>
    <w:tmpl w:val="FC28409E"/>
    <w:lvl w:ilvl="0" w:tplc="853E028C">
      <w:start w:val="10"/>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nsid w:val="5BBC7CB7"/>
    <w:multiLevelType w:val="hybridMultilevel"/>
    <w:tmpl w:val="B6D24B32"/>
    <w:lvl w:ilvl="0" w:tplc="6C6E1A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60434832"/>
    <w:multiLevelType w:val="hybridMultilevel"/>
    <w:tmpl w:val="4642B16A"/>
    <w:lvl w:ilvl="0" w:tplc="1020104A">
      <w:start w:val="5"/>
      <w:numFmt w:val="lowerLetter"/>
      <w:lvlText w:val="%1)"/>
      <w:lvlJc w:val="left"/>
      <w:pPr>
        <w:ind w:left="1778" w:hanging="360"/>
      </w:pPr>
      <w:rPr>
        <w:rFonts w:eastAsia="Calibri"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6ADF3C63"/>
    <w:multiLevelType w:val="multilevel"/>
    <w:tmpl w:val="D65876D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5"/>
  </w:num>
  <w:num w:numId="4">
    <w:abstractNumId w:val="6"/>
  </w:num>
  <w:num w:numId="5">
    <w:abstractNumId w:val="1"/>
  </w:num>
  <w:num w:numId="6">
    <w:abstractNumId w:val="12"/>
  </w:num>
  <w:num w:numId="7">
    <w:abstractNumId w:val="9"/>
  </w:num>
  <w:num w:numId="8">
    <w:abstractNumId w:val="3"/>
  </w:num>
  <w:num w:numId="9">
    <w:abstractNumId w:val="4"/>
  </w:num>
  <w:num w:numId="10">
    <w:abstractNumId w:val="10"/>
  </w:num>
  <w:num w:numId="11">
    <w:abstractNumId w:val="8"/>
  </w:num>
  <w:num w:numId="12">
    <w:abstractNumId w:val="11"/>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07"/>
    <w:rsid w:val="0000055C"/>
    <w:rsid w:val="00000C9A"/>
    <w:rsid w:val="000021CA"/>
    <w:rsid w:val="00007262"/>
    <w:rsid w:val="00007B03"/>
    <w:rsid w:val="00014B8D"/>
    <w:rsid w:val="000202FC"/>
    <w:rsid w:val="00020B3B"/>
    <w:rsid w:val="00023518"/>
    <w:rsid w:val="00023E43"/>
    <w:rsid w:val="00025D53"/>
    <w:rsid w:val="00030DAF"/>
    <w:rsid w:val="00031AA5"/>
    <w:rsid w:val="00032EC8"/>
    <w:rsid w:val="00043FB8"/>
    <w:rsid w:val="00050CA9"/>
    <w:rsid w:val="00052A55"/>
    <w:rsid w:val="00052DC3"/>
    <w:rsid w:val="000532E5"/>
    <w:rsid w:val="000559BF"/>
    <w:rsid w:val="00056F03"/>
    <w:rsid w:val="0006234C"/>
    <w:rsid w:val="00073FAD"/>
    <w:rsid w:val="000764BB"/>
    <w:rsid w:val="00080984"/>
    <w:rsid w:val="0008172B"/>
    <w:rsid w:val="00083350"/>
    <w:rsid w:val="000834F5"/>
    <w:rsid w:val="000839DC"/>
    <w:rsid w:val="00086EFD"/>
    <w:rsid w:val="0009087A"/>
    <w:rsid w:val="00091490"/>
    <w:rsid w:val="0009187B"/>
    <w:rsid w:val="00092FC8"/>
    <w:rsid w:val="00093C33"/>
    <w:rsid w:val="00094130"/>
    <w:rsid w:val="00096743"/>
    <w:rsid w:val="00096983"/>
    <w:rsid w:val="00097AC2"/>
    <w:rsid w:val="000A0BEB"/>
    <w:rsid w:val="000A3154"/>
    <w:rsid w:val="000A35C0"/>
    <w:rsid w:val="000A77B0"/>
    <w:rsid w:val="000A7A16"/>
    <w:rsid w:val="000B2A45"/>
    <w:rsid w:val="000B5C5A"/>
    <w:rsid w:val="000C209E"/>
    <w:rsid w:val="000C6A5D"/>
    <w:rsid w:val="000D3945"/>
    <w:rsid w:val="000D398A"/>
    <w:rsid w:val="000D402E"/>
    <w:rsid w:val="000D7093"/>
    <w:rsid w:val="000E0B04"/>
    <w:rsid w:val="000E200D"/>
    <w:rsid w:val="000E6AE5"/>
    <w:rsid w:val="000E7CFE"/>
    <w:rsid w:val="0010121E"/>
    <w:rsid w:val="00103D1A"/>
    <w:rsid w:val="00105578"/>
    <w:rsid w:val="00105D77"/>
    <w:rsid w:val="00105E3F"/>
    <w:rsid w:val="00111C2C"/>
    <w:rsid w:val="0011398D"/>
    <w:rsid w:val="00113E8C"/>
    <w:rsid w:val="00113F51"/>
    <w:rsid w:val="001144C3"/>
    <w:rsid w:val="0011565A"/>
    <w:rsid w:val="00116629"/>
    <w:rsid w:val="00117D03"/>
    <w:rsid w:val="0012031A"/>
    <w:rsid w:val="001218F3"/>
    <w:rsid w:val="00122BFD"/>
    <w:rsid w:val="0012318E"/>
    <w:rsid w:val="00127961"/>
    <w:rsid w:val="00131402"/>
    <w:rsid w:val="00132D77"/>
    <w:rsid w:val="00132DE3"/>
    <w:rsid w:val="00133052"/>
    <w:rsid w:val="00134CF4"/>
    <w:rsid w:val="00140E60"/>
    <w:rsid w:val="0014123C"/>
    <w:rsid w:val="00141F0A"/>
    <w:rsid w:val="0014357B"/>
    <w:rsid w:val="00143B7F"/>
    <w:rsid w:val="00144AFD"/>
    <w:rsid w:val="00144FF3"/>
    <w:rsid w:val="00145258"/>
    <w:rsid w:val="00145D7C"/>
    <w:rsid w:val="0015317C"/>
    <w:rsid w:val="00155C80"/>
    <w:rsid w:val="00156B35"/>
    <w:rsid w:val="00160725"/>
    <w:rsid w:val="001621D0"/>
    <w:rsid w:val="00162C57"/>
    <w:rsid w:val="00162E2C"/>
    <w:rsid w:val="001648A8"/>
    <w:rsid w:val="00172B6A"/>
    <w:rsid w:val="00174FED"/>
    <w:rsid w:val="00175F79"/>
    <w:rsid w:val="00176454"/>
    <w:rsid w:val="00180A5A"/>
    <w:rsid w:val="00180C91"/>
    <w:rsid w:val="00184F2E"/>
    <w:rsid w:val="00190543"/>
    <w:rsid w:val="00193093"/>
    <w:rsid w:val="00196947"/>
    <w:rsid w:val="001A39B4"/>
    <w:rsid w:val="001A5678"/>
    <w:rsid w:val="001A5F5F"/>
    <w:rsid w:val="001A63EF"/>
    <w:rsid w:val="001A7877"/>
    <w:rsid w:val="001C3DDD"/>
    <w:rsid w:val="001C71C3"/>
    <w:rsid w:val="001C7775"/>
    <w:rsid w:val="001D05BE"/>
    <w:rsid w:val="001D163A"/>
    <w:rsid w:val="001D1B97"/>
    <w:rsid w:val="001D78DA"/>
    <w:rsid w:val="001D7D0F"/>
    <w:rsid w:val="001E1075"/>
    <w:rsid w:val="001E24B7"/>
    <w:rsid w:val="001E47F8"/>
    <w:rsid w:val="001E4896"/>
    <w:rsid w:val="001E4AA7"/>
    <w:rsid w:val="001F0E40"/>
    <w:rsid w:val="001F6C76"/>
    <w:rsid w:val="002026F8"/>
    <w:rsid w:val="00202ECA"/>
    <w:rsid w:val="00204FCD"/>
    <w:rsid w:val="0020560A"/>
    <w:rsid w:val="00210D09"/>
    <w:rsid w:val="00220B63"/>
    <w:rsid w:val="002230F0"/>
    <w:rsid w:val="0022511F"/>
    <w:rsid w:val="00225C51"/>
    <w:rsid w:val="002273C5"/>
    <w:rsid w:val="002332CE"/>
    <w:rsid w:val="0023598D"/>
    <w:rsid w:val="00235F42"/>
    <w:rsid w:val="00236367"/>
    <w:rsid w:val="00237C94"/>
    <w:rsid w:val="002407FF"/>
    <w:rsid w:val="00243AFF"/>
    <w:rsid w:val="00247007"/>
    <w:rsid w:val="002477E7"/>
    <w:rsid w:val="0025029C"/>
    <w:rsid w:val="00251A65"/>
    <w:rsid w:val="00261C23"/>
    <w:rsid w:val="00262940"/>
    <w:rsid w:val="00262BC1"/>
    <w:rsid w:val="0026309D"/>
    <w:rsid w:val="00270C2F"/>
    <w:rsid w:val="00272626"/>
    <w:rsid w:val="00273106"/>
    <w:rsid w:val="00273EB1"/>
    <w:rsid w:val="00274FE5"/>
    <w:rsid w:val="0027559D"/>
    <w:rsid w:val="0027589C"/>
    <w:rsid w:val="00276F16"/>
    <w:rsid w:val="00281223"/>
    <w:rsid w:val="00287278"/>
    <w:rsid w:val="002917AF"/>
    <w:rsid w:val="00297576"/>
    <w:rsid w:val="002A1FDB"/>
    <w:rsid w:val="002A28F0"/>
    <w:rsid w:val="002B0946"/>
    <w:rsid w:val="002B1718"/>
    <w:rsid w:val="002B2130"/>
    <w:rsid w:val="002B2577"/>
    <w:rsid w:val="002B3910"/>
    <w:rsid w:val="002C6287"/>
    <w:rsid w:val="002C70C7"/>
    <w:rsid w:val="002D4FB6"/>
    <w:rsid w:val="002D5659"/>
    <w:rsid w:val="002D639D"/>
    <w:rsid w:val="002D64B3"/>
    <w:rsid w:val="002D7646"/>
    <w:rsid w:val="002E2705"/>
    <w:rsid w:val="002E5F19"/>
    <w:rsid w:val="002E6440"/>
    <w:rsid w:val="002F0F30"/>
    <w:rsid w:val="002F1FB3"/>
    <w:rsid w:val="002F65B3"/>
    <w:rsid w:val="00300D56"/>
    <w:rsid w:val="00302723"/>
    <w:rsid w:val="00303473"/>
    <w:rsid w:val="00306AC5"/>
    <w:rsid w:val="003167D7"/>
    <w:rsid w:val="00326538"/>
    <w:rsid w:val="0032696A"/>
    <w:rsid w:val="00330D28"/>
    <w:rsid w:val="00330F5E"/>
    <w:rsid w:val="00334410"/>
    <w:rsid w:val="00336C6B"/>
    <w:rsid w:val="003426E9"/>
    <w:rsid w:val="00343670"/>
    <w:rsid w:val="00345DD5"/>
    <w:rsid w:val="00347570"/>
    <w:rsid w:val="00352E81"/>
    <w:rsid w:val="00356C57"/>
    <w:rsid w:val="003634BC"/>
    <w:rsid w:val="00366257"/>
    <w:rsid w:val="0037271E"/>
    <w:rsid w:val="0037359C"/>
    <w:rsid w:val="003756D2"/>
    <w:rsid w:val="003773EB"/>
    <w:rsid w:val="003822A5"/>
    <w:rsid w:val="00384C02"/>
    <w:rsid w:val="00387189"/>
    <w:rsid w:val="00387673"/>
    <w:rsid w:val="00390C2C"/>
    <w:rsid w:val="0039392F"/>
    <w:rsid w:val="003947CF"/>
    <w:rsid w:val="00395387"/>
    <w:rsid w:val="00395676"/>
    <w:rsid w:val="003963C5"/>
    <w:rsid w:val="003A0231"/>
    <w:rsid w:val="003A1511"/>
    <w:rsid w:val="003B067F"/>
    <w:rsid w:val="003B4C93"/>
    <w:rsid w:val="003C06DA"/>
    <w:rsid w:val="003C1A5B"/>
    <w:rsid w:val="003C25D1"/>
    <w:rsid w:val="003D246D"/>
    <w:rsid w:val="003D3E02"/>
    <w:rsid w:val="003D7026"/>
    <w:rsid w:val="003E6B30"/>
    <w:rsid w:val="003F18CB"/>
    <w:rsid w:val="003F6AC5"/>
    <w:rsid w:val="0040447B"/>
    <w:rsid w:val="00404642"/>
    <w:rsid w:val="00405823"/>
    <w:rsid w:val="00412799"/>
    <w:rsid w:val="00412C7F"/>
    <w:rsid w:val="00414C4E"/>
    <w:rsid w:val="00417FDF"/>
    <w:rsid w:val="004209ED"/>
    <w:rsid w:val="004256C2"/>
    <w:rsid w:val="00425E93"/>
    <w:rsid w:val="004264CF"/>
    <w:rsid w:val="00427ED6"/>
    <w:rsid w:val="004304F7"/>
    <w:rsid w:val="00430BBD"/>
    <w:rsid w:val="00431F25"/>
    <w:rsid w:val="0043290F"/>
    <w:rsid w:val="00437F33"/>
    <w:rsid w:val="00444EEB"/>
    <w:rsid w:val="00450839"/>
    <w:rsid w:val="00451E84"/>
    <w:rsid w:val="0045241D"/>
    <w:rsid w:val="004551E7"/>
    <w:rsid w:val="004635D0"/>
    <w:rsid w:val="004643E3"/>
    <w:rsid w:val="0046530A"/>
    <w:rsid w:val="004657C5"/>
    <w:rsid w:val="00467868"/>
    <w:rsid w:val="00470569"/>
    <w:rsid w:val="00470F30"/>
    <w:rsid w:val="00470FBE"/>
    <w:rsid w:val="00471BBD"/>
    <w:rsid w:val="004730C1"/>
    <w:rsid w:val="00492C66"/>
    <w:rsid w:val="004A099A"/>
    <w:rsid w:val="004A0CA8"/>
    <w:rsid w:val="004A2B15"/>
    <w:rsid w:val="004A2B62"/>
    <w:rsid w:val="004A6C2F"/>
    <w:rsid w:val="004A7432"/>
    <w:rsid w:val="004B1E99"/>
    <w:rsid w:val="004B2947"/>
    <w:rsid w:val="004B29DA"/>
    <w:rsid w:val="004C010C"/>
    <w:rsid w:val="004C3495"/>
    <w:rsid w:val="004C37CF"/>
    <w:rsid w:val="004C4302"/>
    <w:rsid w:val="004C488D"/>
    <w:rsid w:val="004C5A44"/>
    <w:rsid w:val="004C6BB4"/>
    <w:rsid w:val="004D0288"/>
    <w:rsid w:val="004D25CB"/>
    <w:rsid w:val="004D2FED"/>
    <w:rsid w:val="004D6B15"/>
    <w:rsid w:val="004E17D9"/>
    <w:rsid w:val="004E50C2"/>
    <w:rsid w:val="004E5961"/>
    <w:rsid w:val="004E723C"/>
    <w:rsid w:val="004E784F"/>
    <w:rsid w:val="004F255D"/>
    <w:rsid w:val="005012EA"/>
    <w:rsid w:val="00501425"/>
    <w:rsid w:val="005053E5"/>
    <w:rsid w:val="00507ABC"/>
    <w:rsid w:val="0051322D"/>
    <w:rsid w:val="00517870"/>
    <w:rsid w:val="0052179D"/>
    <w:rsid w:val="00524501"/>
    <w:rsid w:val="005253FB"/>
    <w:rsid w:val="00530ECB"/>
    <w:rsid w:val="00535965"/>
    <w:rsid w:val="00536849"/>
    <w:rsid w:val="00537BE7"/>
    <w:rsid w:val="00537F4D"/>
    <w:rsid w:val="005437D6"/>
    <w:rsid w:val="00543A8C"/>
    <w:rsid w:val="00543CD5"/>
    <w:rsid w:val="00545FBB"/>
    <w:rsid w:val="005472F4"/>
    <w:rsid w:val="00547616"/>
    <w:rsid w:val="00547805"/>
    <w:rsid w:val="00550D34"/>
    <w:rsid w:val="00554A05"/>
    <w:rsid w:val="00555FF0"/>
    <w:rsid w:val="0058328E"/>
    <w:rsid w:val="0058375E"/>
    <w:rsid w:val="0058447E"/>
    <w:rsid w:val="00585B7C"/>
    <w:rsid w:val="00586BEC"/>
    <w:rsid w:val="00592453"/>
    <w:rsid w:val="005974E4"/>
    <w:rsid w:val="005A50D2"/>
    <w:rsid w:val="005A531E"/>
    <w:rsid w:val="005A737D"/>
    <w:rsid w:val="005A765C"/>
    <w:rsid w:val="005B12DD"/>
    <w:rsid w:val="005B39C7"/>
    <w:rsid w:val="005B4A41"/>
    <w:rsid w:val="005B6E53"/>
    <w:rsid w:val="005C1340"/>
    <w:rsid w:val="005C6604"/>
    <w:rsid w:val="005C6FDD"/>
    <w:rsid w:val="005C771A"/>
    <w:rsid w:val="005D04A8"/>
    <w:rsid w:val="005D159A"/>
    <w:rsid w:val="005D53E1"/>
    <w:rsid w:val="005E16B5"/>
    <w:rsid w:val="005E2216"/>
    <w:rsid w:val="005E410C"/>
    <w:rsid w:val="005E6623"/>
    <w:rsid w:val="005F3DBA"/>
    <w:rsid w:val="005F6395"/>
    <w:rsid w:val="005F774A"/>
    <w:rsid w:val="006015A5"/>
    <w:rsid w:val="00602E9D"/>
    <w:rsid w:val="006047C6"/>
    <w:rsid w:val="00604AC5"/>
    <w:rsid w:val="00604C14"/>
    <w:rsid w:val="00605091"/>
    <w:rsid w:val="00605E67"/>
    <w:rsid w:val="00611437"/>
    <w:rsid w:val="00611F1E"/>
    <w:rsid w:val="00616215"/>
    <w:rsid w:val="00617793"/>
    <w:rsid w:val="006207ED"/>
    <w:rsid w:val="0062604B"/>
    <w:rsid w:val="00626E4A"/>
    <w:rsid w:val="00637A27"/>
    <w:rsid w:val="00637CB9"/>
    <w:rsid w:val="00637F1E"/>
    <w:rsid w:val="00640E23"/>
    <w:rsid w:val="0064208A"/>
    <w:rsid w:val="0064614E"/>
    <w:rsid w:val="006466EA"/>
    <w:rsid w:val="0064747F"/>
    <w:rsid w:val="006508A4"/>
    <w:rsid w:val="00661E83"/>
    <w:rsid w:val="006639F6"/>
    <w:rsid w:val="00663F20"/>
    <w:rsid w:val="00665D9B"/>
    <w:rsid w:val="006736B0"/>
    <w:rsid w:val="0068262C"/>
    <w:rsid w:val="0068541E"/>
    <w:rsid w:val="006855E9"/>
    <w:rsid w:val="00686AF3"/>
    <w:rsid w:val="00687C56"/>
    <w:rsid w:val="006A4EBF"/>
    <w:rsid w:val="006B4A38"/>
    <w:rsid w:val="006C02BB"/>
    <w:rsid w:val="006C0C8D"/>
    <w:rsid w:val="006C4662"/>
    <w:rsid w:val="006C5BD3"/>
    <w:rsid w:val="006C6279"/>
    <w:rsid w:val="006C7774"/>
    <w:rsid w:val="006D23A1"/>
    <w:rsid w:val="006D3F80"/>
    <w:rsid w:val="006E4DF1"/>
    <w:rsid w:val="006F186B"/>
    <w:rsid w:val="006F2E00"/>
    <w:rsid w:val="006F4DE0"/>
    <w:rsid w:val="006F5F23"/>
    <w:rsid w:val="006F7AFD"/>
    <w:rsid w:val="00701710"/>
    <w:rsid w:val="00703651"/>
    <w:rsid w:val="00712134"/>
    <w:rsid w:val="0071409D"/>
    <w:rsid w:val="0071498C"/>
    <w:rsid w:val="00714EF5"/>
    <w:rsid w:val="00716B51"/>
    <w:rsid w:val="00720AF9"/>
    <w:rsid w:val="007213CC"/>
    <w:rsid w:val="00721D87"/>
    <w:rsid w:val="007243DD"/>
    <w:rsid w:val="00726960"/>
    <w:rsid w:val="00726E5D"/>
    <w:rsid w:val="00726E6A"/>
    <w:rsid w:val="007301C1"/>
    <w:rsid w:val="00731085"/>
    <w:rsid w:val="00734098"/>
    <w:rsid w:val="00734598"/>
    <w:rsid w:val="00735943"/>
    <w:rsid w:val="007364F5"/>
    <w:rsid w:val="00737486"/>
    <w:rsid w:val="00744282"/>
    <w:rsid w:val="007442DF"/>
    <w:rsid w:val="00745682"/>
    <w:rsid w:val="00747FC9"/>
    <w:rsid w:val="007507C5"/>
    <w:rsid w:val="00752202"/>
    <w:rsid w:val="00756ECC"/>
    <w:rsid w:val="00756F45"/>
    <w:rsid w:val="00761027"/>
    <w:rsid w:val="007666A0"/>
    <w:rsid w:val="00767371"/>
    <w:rsid w:val="00771906"/>
    <w:rsid w:val="0077564B"/>
    <w:rsid w:val="007759D7"/>
    <w:rsid w:val="007830D0"/>
    <w:rsid w:val="00786519"/>
    <w:rsid w:val="00792CB4"/>
    <w:rsid w:val="00796DCB"/>
    <w:rsid w:val="007A0360"/>
    <w:rsid w:val="007A0802"/>
    <w:rsid w:val="007A1FA0"/>
    <w:rsid w:val="007A34C1"/>
    <w:rsid w:val="007A4326"/>
    <w:rsid w:val="007A4C23"/>
    <w:rsid w:val="007A7127"/>
    <w:rsid w:val="007A78D4"/>
    <w:rsid w:val="007A795E"/>
    <w:rsid w:val="007B133C"/>
    <w:rsid w:val="007B2AF5"/>
    <w:rsid w:val="007B3E12"/>
    <w:rsid w:val="007B5090"/>
    <w:rsid w:val="007B6B05"/>
    <w:rsid w:val="007B7B48"/>
    <w:rsid w:val="007C030F"/>
    <w:rsid w:val="007C3A96"/>
    <w:rsid w:val="007C6646"/>
    <w:rsid w:val="007C6FC2"/>
    <w:rsid w:val="007D1DD6"/>
    <w:rsid w:val="007D3462"/>
    <w:rsid w:val="007E13C8"/>
    <w:rsid w:val="007E3AD9"/>
    <w:rsid w:val="007E7084"/>
    <w:rsid w:val="007F2A32"/>
    <w:rsid w:val="007F3587"/>
    <w:rsid w:val="007F483C"/>
    <w:rsid w:val="007F6A17"/>
    <w:rsid w:val="007F7A9B"/>
    <w:rsid w:val="007F7CE3"/>
    <w:rsid w:val="0080197A"/>
    <w:rsid w:val="008060E0"/>
    <w:rsid w:val="0081367E"/>
    <w:rsid w:val="00820600"/>
    <w:rsid w:val="00822601"/>
    <w:rsid w:val="00827392"/>
    <w:rsid w:val="00830A10"/>
    <w:rsid w:val="00834FDF"/>
    <w:rsid w:val="008353C0"/>
    <w:rsid w:val="00841B47"/>
    <w:rsid w:val="008431BE"/>
    <w:rsid w:val="008460DF"/>
    <w:rsid w:val="00851703"/>
    <w:rsid w:val="00854FC6"/>
    <w:rsid w:val="00855865"/>
    <w:rsid w:val="00857813"/>
    <w:rsid w:val="00860661"/>
    <w:rsid w:val="008606D3"/>
    <w:rsid w:val="00860E49"/>
    <w:rsid w:val="00861D68"/>
    <w:rsid w:val="008622DA"/>
    <w:rsid w:val="00863AF5"/>
    <w:rsid w:val="00865063"/>
    <w:rsid w:val="008701DD"/>
    <w:rsid w:val="00871282"/>
    <w:rsid w:val="00872D13"/>
    <w:rsid w:val="008779CE"/>
    <w:rsid w:val="00896A3C"/>
    <w:rsid w:val="008A1BA6"/>
    <w:rsid w:val="008A3762"/>
    <w:rsid w:val="008A41FD"/>
    <w:rsid w:val="008A4DB2"/>
    <w:rsid w:val="008A6B35"/>
    <w:rsid w:val="008A7F34"/>
    <w:rsid w:val="008B598B"/>
    <w:rsid w:val="008B75B1"/>
    <w:rsid w:val="008C4E5C"/>
    <w:rsid w:val="008C5678"/>
    <w:rsid w:val="008D08A6"/>
    <w:rsid w:val="008D3FFF"/>
    <w:rsid w:val="008E0260"/>
    <w:rsid w:val="008E3ECA"/>
    <w:rsid w:val="008E5C89"/>
    <w:rsid w:val="008E5D49"/>
    <w:rsid w:val="008E7E43"/>
    <w:rsid w:val="008F0305"/>
    <w:rsid w:val="008F613B"/>
    <w:rsid w:val="008F61DA"/>
    <w:rsid w:val="008F7969"/>
    <w:rsid w:val="009024A3"/>
    <w:rsid w:val="00903A60"/>
    <w:rsid w:val="00903B73"/>
    <w:rsid w:val="00904956"/>
    <w:rsid w:val="00905443"/>
    <w:rsid w:val="0090726F"/>
    <w:rsid w:val="00907B3B"/>
    <w:rsid w:val="00910782"/>
    <w:rsid w:val="00911998"/>
    <w:rsid w:val="00912602"/>
    <w:rsid w:val="00912971"/>
    <w:rsid w:val="00913682"/>
    <w:rsid w:val="009156C9"/>
    <w:rsid w:val="00921399"/>
    <w:rsid w:val="00926458"/>
    <w:rsid w:val="0092670E"/>
    <w:rsid w:val="0093084E"/>
    <w:rsid w:val="009328EE"/>
    <w:rsid w:val="00933661"/>
    <w:rsid w:val="009348E7"/>
    <w:rsid w:val="0094086D"/>
    <w:rsid w:val="00940E42"/>
    <w:rsid w:val="00944093"/>
    <w:rsid w:val="00945A62"/>
    <w:rsid w:val="009477FF"/>
    <w:rsid w:val="009515B3"/>
    <w:rsid w:val="00951E8E"/>
    <w:rsid w:val="0095260A"/>
    <w:rsid w:val="00952629"/>
    <w:rsid w:val="009536FD"/>
    <w:rsid w:val="00954E60"/>
    <w:rsid w:val="00954FDB"/>
    <w:rsid w:val="009559B8"/>
    <w:rsid w:val="00964C7F"/>
    <w:rsid w:val="00966D25"/>
    <w:rsid w:val="00967F66"/>
    <w:rsid w:val="00972281"/>
    <w:rsid w:val="00972455"/>
    <w:rsid w:val="009757B7"/>
    <w:rsid w:val="00976FF9"/>
    <w:rsid w:val="0098042E"/>
    <w:rsid w:val="009820B8"/>
    <w:rsid w:val="00982C83"/>
    <w:rsid w:val="00991F06"/>
    <w:rsid w:val="009A0DCA"/>
    <w:rsid w:val="009A2042"/>
    <w:rsid w:val="009A57D8"/>
    <w:rsid w:val="009A6D1E"/>
    <w:rsid w:val="009A7705"/>
    <w:rsid w:val="009B096C"/>
    <w:rsid w:val="009B2513"/>
    <w:rsid w:val="009B456B"/>
    <w:rsid w:val="009B5C2A"/>
    <w:rsid w:val="009B77BB"/>
    <w:rsid w:val="009C1628"/>
    <w:rsid w:val="009C1A18"/>
    <w:rsid w:val="009C4FE1"/>
    <w:rsid w:val="009C5D3F"/>
    <w:rsid w:val="009D3018"/>
    <w:rsid w:val="009D7548"/>
    <w:rsid w:val="009E064D"/>
    <w:rsid w:val="009E2E35"/>
    <w:rsid w:val="009E4ADE"/>
    <w:rsid w:val="009E7EA4"/>
    <w:rsid w:val="009F3E11"/>
    <w:rsid w:val="009F4804"/>
    <w:rsid w:val="009F5C8E"/>
    <w:rsid w:val="009F64C7"/>
    <w:rsid w:val="009F7AC3"/>
    <w:rsid w:val="00A03627"/>
    <w:rsid w:val="00A045DA"/>
    <w:rsid w:val="00A15BED"/>
    <w:rsid w:val="00A20581"/>
    <w:rsid w:val="00A20A7D"/>
    <w:rsid w:val="00A275E4"/>
    <w:rsid w:val="00A2780C"/>
    <w:rsid w:val="00A3657B"/>
    <w:rsid w:val="00A4072E"/>
    <w:rsid w:val="00A439F7"/>
    <w:rsid w:val="00A46FE5"/>
    <w:rsid w:val="00A50EE5"/>
    <w:rsid w:val="00A54197"/>
    <w:rsid w:val="00A5539D"/>
    <w:rsid w:val="00A65162"/>
    <w:rsid w:val="00A652AF"/>
    <w:rsid w:val="00A65607"/>
    <w:rsid w:val="00A745CE"/>
    <w:rsid w:val="00A7648D"/>
    <w:rsid w:val="00A82ED7"/>
    <w:rsid w:val="00A84219"/>
    <w:rsid w:val="00A8450C"/>
    <w:rsid w:val="00A86C1E"/>
    <w:rsid w:val="00A86E1D"/>
    <w:rsid w:val="00A91970"/>
    <w:rsid w:val="00A96BEF"/>
    <w:rsid w:val="00AA1BE1"/>
    <w:rsid w:val="00AA5970"/>
    <w:rsid w:val="00AA73E8"/>
    <w:rsid w:val="00AB2FA2"/>
    <w:rsid w:val="00AB5B26"/>
    <w:rsid w:val="00AB7A3A"/>
    <w:rsid w:val="00AB7C17"/>
    <w:rsid w:val="00AC3E4F"/>
    <w:rsid w:val="00AC516F"/>
    <w:rsid w:val="00AD02EB"/>
    <w:rsid w:val="00AD2C0B"/>
    <w:rsid w:val="00AD2FE1"/>
    <w:rsid w:val="00AD6EA5"/>
    <w:rsid w:val="00AE2EBB"/>
    <w:rsid w:val="00AE5A90"/>
    <w:rsid w:val="00AE7F64"/>
    <w:rsid w:val="00AF3373"/>
    <w:rsid w:val="00AF3E8A"/>
    <w:rsid w:val="00AF61A5"/>
    <w:rsid w:val="00B01B69"/>
    <w:rsid w:val="00B1183C"/>
    <w:rsid w:val="00B11E49"/>
    <w:rsid w:val="00B13207"/>
    <w:rsid w:val="00B13951"/>
    <w:rsid w:val="00B16EA5"/>
    <w:rsid w:val="00B17F23"/>
    <w:rsid w:val="00B203AB"/>
    <w:rsid w:val="00B300E2"/>
    <w:rsid w:val="00B31D06"/>
    <w:rsid w:val="00B40790"/>
    <w:rsid w:val="00B45022"/>
    <w:rsid w:val="00B5034F"/>
    <w:rsid w:val="00B51291"/>
    <w:rsid w:val="00B51DEB"/>
    <w:rsid w:val="00B538F3"/>
    <w:rsid w:val="00B542EB"/>
    <w:rsid w:val="00B563F5"/>
    <w:rsid w:val="00B57D35"/>
    <w:rsid w:val="00B60451"/>
    <w:rsid w:val="00B62B35"/>
    <w:rsid w:val="00B70E5D"/>
    <w:rsid w:val="00B70EFE"/>
    <w:rsid w:val="00B711A8"/>
    <w:rsid w:val="00B71989"/>
    <w:rsid w:val="00B72E18"/>
    <w:rsid w:val="00B736E3"/>
    <w:rsid w:val="00B75620"/>
    <w:rsid w:val="00B76EF1"/>
    <w:rsid w:val="00B76F7F"/>
    <w:rsid w:val="00B86374"/>
    <w:rsid w:val="00B87D75"/>
    <w:rsid w:val="00B901A5"/>
    <w:rsid w:val="00B918A3"/>
    <w:rsid w:val="00B91952"/>
    <w:rsid w:val="00B9468B"/>
    <w:rsid w:val="00B96ABD"/>
    <w:rsid w:val="00BA20C5"/>
    <w:rsid w:val="00BA240B"/>
    <w:rsid w:val="00BA2846"/>
    <w:rsid w:val="00BA4EE7"/>
    <w:rsid w:val="00BB0200"/>
    <w:rsid w:val="00BB122B"/>
    <w:rsid w:val="00BB1A93"/>
    <w:rsid w:val="00BB4454"/>
    <w:rsid w:val="00BC035D"/>
    <w:rsid w:val="00BC3607"/>
    <w:rsid w:val="00BC4A00"/>
    <w:rsid w:val="00BC4BAC"/>
    <w:rsid w:val="00BD00C5"/>
    <w:rsid w:val="00BD02C5"/>
    <w:rsid w:val="00BD1D71"/>
    <w:rsid w:val="00BD220A"/>
    <w:rsid w:val="00BD3611"/>
    <w:rsid w:val="00BD3E77"/>
    <w:rsid w:val="00BD6F11"/>
    <w:rsid w:val="00BE034E"/>
    <w:rsid w:val="00BE09EC"/>
    <w:rsid w:val="00BE0A7A"/>
    <w:rsid w:val="00BE1226"/>
    <w:rsid w:val="00BE1875"/>
    <w:rsid w:val="00BE19D1"/>
    <w:rsid w:val="00BE3214"/>
    <w:rsid w:val="00BE522B"/>
    <w:rsid w:val="00BF0327"/>
    <w:rsid w:val="00BF16E1"/>
    <w:rsid w:val="00BF24D3"/>
    <w:rsid w:val="00BF4E54"/>
    <w:rsid w:val="00BF6532"/>
    <w:rsid w:val="00BF79D4"/>
    <w:rsid w:val="00C0039E"/>
    <w:rsid w:val="00C05E0B"/>
    <w:rsid w:val="00C06CA5"/>
    <w:rsid w:val="00C06E27"/>
    <w:rsid w:val="00C077A8"/>
    <w:rsid w:val="00C123E3"/>
    <w:rsid w:val="00C16DBF"/>
    <w:rsid w:val="00C17C88"/>
    <w:rsid w:val="00C2737E"/>
    <w:rsid w:val="00C311A7"/>
    <w:rsid w:val="00C31B7A"/>
    <w:rsid w:val="00C36CFB"/>
    <w:rsid w:val="00C370D7"/>
    <w:rsid w:val="00C4137B"/>
    <w:rsid w:val="00C420E5"/>
    <w:rsid w:val="00C443A9"/>
    <w:rsid w:val="00C46F5B"/>
    <w:rsid w:val="00C51257"/>
    <w:rsid w:val="00C52089"/>
    <w:rsid w:val="00C530D6"/>
    <w:rsid w:val="00C5428E"/>
    <w:rsid w:val="00C649A8"/>
    <w:rsid w:val="00C64D90"/>
    <w:rsid w:val="00C66A97"/>
    <w:rsid w:val="00C72D3C"/>
    <w:rsid w:val="00C77764"/>
    <w:rsid w:val="00C8022C"/>
    <w:rsid w:val="00C82E33"/>
    <w:rsid w:val="00C836B7"/>
    <w:rsid w:val="00C84150"/>
    <w:rsid w:val="00C8794F"/>
    <w:rsid w:val="00C87EE5"/>
    <w:rsid w:val="00C91CC4"/>
    <w:rsid w:val="00CA233F"/>
    <w:rsid w:val="00CA373A"/>
    <w:rsid w:val="00CA6E30"/>
    <w:rsid w:val="00CB3E59"/>
    <w:rsid w:val="00CB3EBB"/>
    <w:rsid w:val="00CC1739"/>
    <w:rsid w:val="00CC1849"/>
    <w:rsid w:val="00CC276E"/>
    <w:rsid w:val="00CC30A8"/>
    <w:rsid w:val="00CC44E5"/>
    <w:rsid w:val="00CC766B"/>
    <w:rsid w:val="00CD04FC"/>
    <w:rsid w:val="00CD2AD0"/>
    <w:rsid w:val="00CD464B"/>
    <w:rsid w:val="00CD4826"/>
    <w:rsid w:val="00CD78D4"/>
    <w:rsid w:val="00CE0499"/>
    <w:rsid w:val="00CE58B1"/>
    <w:rsid w:val="00CF7BC0"/>
    <w:rsid w:val="00D0091F"/>
    <w:rsid w:val="00D01906"/>
    <w:rsid w:val="00D031A4"/>
    <w:rsid w:val="00D17061"/>
    <w:rsid w:val="00D22D2E"/>
    <w:rsid w:val="00D34A09"/>
    <w:rsid w:val="00D35598"/>
    <w:rsid w:val="00D36E9A"/>
    <w:rsid w:val="00D4175A"/>
    <w:rsid w:val="00D45127"/>
    <w:rsid w:val="00D4762C"/>
    <w:rsid w:val="00D505D9"/>
    <w:rsid w:val="00D542A5"/>
    <w:rsid w:val="00D55257"/>
    <w:rsid w:val="00D55718"/>
    <w:rsid w:val="00D55D02"/>
    <w:rsid w:val="00D564F3"/>
    <w:rsid w:val="00D56941"/>
    <w:rsid w:val="00D576EE"/>
    <w:rsid w:val="00D61536"/>
    <w:rsid w:val="00D615AF"/>
    <w:rsid w:val="00D61CC9"/>
    <w:rsid w:val="00D62677"/>
    <w:rsid w:val="00D631BD"/>
    <w:rsid w:val="00D643F4"/>
    <w:rsid w:val="00D7203E"/>
    <w:rsid w:val="00D737F2"/>
    <w:rsid w:val="00D74BEC"/>
    <w:rsid w:val="00D85032"/>
    <w:rsid w:val="00D92908"/>
    <w:rsid w:val="00D94D7E"/>
    <w:rsid w:val="00DA0098"/>
    <w:rsid w:val="00DA1172"/>
    <w:rsid w:val="00DA3506"/>
    <w:rsid w:val="00DA51FA"/>
    <w:rsid w:val="00DA7F24"/>
    <w:rsid w:val="00DB1A2C"/>
    <w:rsid w:val="00DB251A"/>
    <w:rsid w:val="00DB75E6"/>
    <w:rsid w:val="00DC06FD"/>
    <w:rsid w:val="00DC1CCA"/>
    <w:rsid w:val="00DC2312"/>
    <w:rsid w:val="00DC6D3A"/>
    <w:rsid w:val="00DC7AAD"/>
    <w:rsid w:val="00DD4CC7"/>
    <w:rsid w:val="00DE326E"/>
    <w:rsid w:val="00DE6616"/>
    <w:rsid w:val="00DE7770"/>
    <w:rsid w:val="00DF0306"/>
    <w:rsid w:val="00DF18F7"/>
    <w:rsid w:val="00DF2ED1"/>
    <w:rsid w:val="00E0215F"/>
    <w:rsid w:val="00E02A7B"/>
    <w:rsid w:val="00E03A8D"/>
    <w:rsid w:val="00E07AC7"/>
    <w:rsid w:val="00E1408A"/>
    <w:rsid w:val="00E20C08"/>
    <w:rsid w:val="00E2393B"/>
    <w:rsid w:val="00E2644D"/>
    <w:rsid w:val="00E3521A"/>
    <w:rsid w:val="00E439D7"/>
    <w:rsid w:val="00E4503A"/>
    <w:rsid w:val="00E45EA0"/>
    <w:rsid w:val="00E507ED"/>
    <w:rsid w:val="00E50AC5"/>
    <w:rsid w:val="00E51C18"/>
    <w:rsid w:val="00E522E3"/>
    <w:rsid w:val="00E534AE"/>
    <w:rsid w:val="00E61AB8"/>
    <w:rsid w:val="00E70CA5"/>
    <w:rsid w:val="00E7359A"/>
    <w:rsid w:val="00E765FE"/>
    <w:rsid w:val="00E7798F"/>
    <w:rsid w:val="00E84B0F"/>
    <w:rsid w:val="00E87687"/>
    <w:rsid w:val="00E9618F"/>
    <w:rsid w:val="00E9644B"/>
    <w:rsid w:val="00E96B38"/>
    <w:rsid w:val="00E96E44"/>
    <w:rsid w:val="00EA1989"/>
    <w:rsid w:val="00EA1ABB"/>
    <w:rsid w:val="00EA225D"/>
    <w:rsid w:val="00EA4444"/>
    <w:rsid w:val="00EA530C"/>
    <w:rsid w:val="00EA5999"/>
    <w:rsid w:val="00EA5C61"/>
    <w:rsid w:val="00EA7559"/>
    <w:rsid w:val="00EA7C00"/>
    <w:rsid w:val="00EB3C80"/>
    <w:rsid w:val="00EC04D5"/>
    <w:rsid w:val="00EC41DF"/>
    <w:rsid w:val="00EC4304"/>
    <w:rsid w:val="00EC6B25"/>
    <w:rsid w:val="00EC6EFF"/>
    <w:rsid w:val="00EC7638"/>
    <w:rsid w:val="00ED5493"/>
    <w:rsid w:val="00ED7B7C"/>
    <w:rsid w:val="00EE0BBA"/>
    <w:rsid w:val="00EE12A7"/>
    <w:rsid w:val="00EF18BC"/>
    <w:rsid w:val="00EF580A"/>
    <w:rsid w:val="00EF6D8E"/>
    <w:rsid w:val="00F0016F"/>
    <w:rsid w:val="00F00A07"/>
    <w:rsid w:val="00F018CD"/>
    <w:rsid w:val="00F01ED0"/>
    <w:rsid w:val="00F02BEB"/>
    <w:rsid w:val="00F05C3E"/>
    <w:rsid w:val="00F14985"/>
    <w:rsid w:val="00F16FB4"/>
    <w:rsid w:val="00F17C40"/>
    <w:rsid w:val="00F2258E"/>
    <w:rsid w:val="00F26EA0"/>
    <w:rsid w:val="00F30693"/>
    <w:rsid w:val="00F31002"/>
    <w:rsid w:val="00F33706"/>
    <w:rsid w:val="00F356ED"/>
    <w:rsid w:val="00F4033F"/>
    <w:rsid w:val="00F46949"/>
    <w:rsid w:val="00F54350"/>
    <w:rsid w:val="00F54C65"/>
    <w:rsid w:val="00F550E3"/>
    <w:rsid w:val="00F62099"/>
    <w:rsid w:val="00F635C2"/>
    <w:rsid w:val="00F65762"/>
    <w:rsid w:val="00F669FE"/>
    <w:rsid w:val="00F705F2"/>
    <w:rsid w:val="00F70FC3"/>
    <w:rsid w:val="00F8289D"/>
    <w:rsid w:val="00F82ED9"/>
    <w:rsid w:val="00F832AC"/>
    <w:rsid w:val="00F837D0"/>
    <w:rsid w:val="00F83C5E"/>
    <w:rsid w:val="00F85831"/>
    <w:rsid w:val="00F86B4C"/>
    <w:rsid w:val="00F90FEF"/>
    <w:rsid w:val="00F914F2"/>
    <w:rsid w:val="00F942D7"/>
    <w:rsid w:val="00F965DF"/>
    <w:rsid w:val="00F96817"/>
    <w:rsid w:val="00FA0416"/>
    <w:rsid w:val="00FA6BC2"/>
    <w:rsid w:val="00FA6E82"/>
    <w:rsid w:val="00FB0A45"/>
    <w:rsid w:val="00FB4A98"/>
    <w:rsid w:val="00FB5179"/>
    <w:rsid w:val="00FB715F"/>
    <w:rsid w:val="00FC22CE"/>
    <w:rsid w:val="00FC6D97"/>
    <w:rsid w:val="00FD3118"/>
    <w:rsid w:val="00FD4BCA"/>
    <w:rsid w:val="00FD4C2B"/>
    <w:rsid w:val="00FE2D01"/>
    <w:rsid w:val="00FE4422"/>
    <w:rsid w:val="00FE4F53"/>
    <w:rsid w:val="00FE5778"/>
    <w:rsid w:val="00FE67AF"/>
    <w:rsid w:val="00FF26D5"/>
    <w:rsid w:val="00FF3A36"/>
    <w:rsid w:val="00FF4181"/>
    <w:rsid w:val="00FF4977"/>
    <w:rsid w:val="00FF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938C"/>
  <w15:chartTrackingRefBased/>
  <w15:docId w15:val="{36FE429B-F901-4569-A879-501E91B4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07"/>
    <w:pPr>
      <w:spacing w:after="200" w:line="276" w:lineRule="auto"/>
    </w:pPr>
    <w:rPr>
      <w:sz w:val="22"/>
      <w:szCs w:val="22"/>
    </w:rPr>
  </w:style>
  <w:style w:type="paragraph" w:styleId="Titre1">
    <w:name w:val="heading 1"/>
    <w:basedOn w:val="Normal"/>
    <w:next w:val="Normal"/>
    <w:link w:val="Titre1Car"/>
    <w:uiPriority w:val="9"/>
    <w:qFormat/>
    <w:rsid w:val="00D57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7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0A07"/>
    <w:pPr>
      <w:tabs>
        <w:tab w:val="center" w:pos="4536"/>
        <w:tab w:val="right" w:pos="9072"/>
      </w:tabs>
      <w:spacing w:after="0" w:line="240" w:lineRule="auto"/>
    </w:pPr>
  </w:style>
  <w:style w:type="character" w:customStyle="1" w:styleId="En-tteCar">
    <w:name w:val="En-tête Car"/>
    <w:link w:val="En-tte"/>
    <w:uiPriority w:val="99"/>
    <w:rsid w:val="00F00A07"/>
    <w:rPr>
      <w:rFonts w:ascii="Calibri" w:eastAsia="Calibri" w:hAnsi="Calibri" w:cs="Times New Roman"/>
      <w:lang w:val="fr-FR"/>
    </w:rPr>
  </w:style>
  <w:style w:type="paragraph" w:styleId="Pieddepage">
    <w:name w:val="footer"/>
    <w:basedOn w:val="Normal"/>
    <w:link w:val="PieddepageCar"/>
    <w:uiPriority w:val="99"/>
    <w:unhideWhenUsed/>
    <w:rsid w:val="00F00A07"/>
    <w:pPr>
      <w:tabs>
        <w:tab w:val="center" w:pos="4536"/>
        <w:tab w:val="right" w:pos="9072"/>
      </w:tabs>
      <w:spacing w:after="0" w:line="240" w:lineRule="auto"/>
    </w:pPr>
  </w:style>
  <w:style w:type="character" w:customStyle="1" w:styleId="PieddepageCar">
    <w:name w:val="Pied de page Car"/>
    <w:link w:val="Pieddepage"/>
    <w:uiPriority w:val="99"/>
    <w:rsid w:val="00F00A07"/>
    <w:rPr>
      <w:rFonts w:ascii="Calibri" w:eastAsia="Calibri" w:hAnsi="Calibri" w:cs="Times New Roman"/>
      <w:lang w:val="fr-FR"/>
    </w:rPr>
  </w:style>
  <w:style w:type="paragraph" w:styleId="Paragraphedeliste">
    <w:name w:val="List Paragraph"/>
    <w:aliases w:val="Paragraphe  revu,Paragraphe de liste1,References,Bullets,Figures,Liste 1,List Paragraph1,Ha,L_4,Paragraphe de liste4,- List tir,liste 1,puce 1,List Paragraph (numbered (a)),Citation List,본문(내용),Lapis Bulleted List,texte,Paragraphe 2"/>
    <w:basedOn w:val="Normal"/>
    <w:link w:val="ParagraphedelisteCar"/>
    <w:uiPriority w:val="34"/>
    <w:qFormat/>
    <w:rsid w:val="00F00A07"/>
    <w:pPr>
      <w:ind w:left="720"/>
      <w:contextualSpacing/>
    </w:pPr>
  </w:style>
  <w:style w:type="paragraph" w:styleId="Notedebasdepage">
    <w:name w:val="footnote text"/>
    <w:aliases w:val="ADB,single space,footnote text,FOOTNOTES,fn,f,Footnote Text Char Char Char,Footnote Text Char Char,ft,ft Char Char Char,Footnote Text Char Char Char Char,(NECG) Footnote Text,Footnote Text Char Char Char Char Char Char,ALTS FOOTNOTE"/>
    <w:basedOn w:val="Normal"/>
    <w:link w:val="NotedebasdepageCar"/>
    <w:rsid w:val="00F00A07"/>
    <w:pPr>
      <w:spacing w:after="0" w:line="240" w:lineRule="auto"/>
    </w:pPr>
    <w:rPr>
      <w:rFonts w:ascii="Arial" w:eastAsia="Times New Roman" w:hAnsi="Arial"/>
      <w:sz w:val="20"/>
      <w:szCs w:val="20"/>
    </w:rPr>
  </w:style>
  <w:style w:type="character" w:customStyle="1" w:styleId="NotedebasdepageCar">
    <w:name w:val="Note de bas de page Car"/>
    <w:aliases w:val="ADB Car,single space Car,footnote text Car,FOOTNOTES Car,fn Car,f Car,Footnote Text Char Char Char Car,Footnote Text Char Char Car,ft Car,ft Char Char Char Car,Footnote Text Char Char Char Char Car,(NECG) Footnote Text Car"/>
    <w:link w:val="Notedebasdepage"/>
    <w:rsid w:val="00F00A07"/>
    <w:rPr>
      <w:rFonts w:ascii="Arial" w:eastAsia="Times New Roman" w:hAnsi="Arial" w:cs="Times New Roman"/>
      <w:sz w:val="20"/>
      <w:szCs w:val="20"/>
      <w:lang w:val="fr-FR"/>
    </w:rPr>
  </w:style>
  <w:style w:type="character" w:styleId="Appelnotedebasdep">
    <w:name w:val="footnote reference"/>
    <w:aliases w:val="ftref,16 Point,Superscript 6 Point,(NECG) Footnote Reference,Normal + Font:9 Point,Superscript 3 Point Times"/>
    <w:rsid w:val="00F00A07"/>
    <w:rPr>
      <w:rFonts w:ascii="Times New Roman" w:hAnsi="Times New Roman"/>
      <w:sz w:val="20"/>
      <w:vertAlign w:val="superscript"/>
    </w:rPr>
  </w:style>
  <w:style w:type="paragraph" w:styleId="Corpsdetexte2">
    <w:name w:val="Body Text 2"/>
    <w:basedOn w:val="Normal"/>
    <w:link w:val="Corpsdetexte2Car"/>
    <w:uiPriority w:val="99"/>
    <w:unhideWhenUsed/>
    <w:rsid w:val="00F00A07"/>
    <w:pPr>
      <w:spacing w:after="120" w:line="480" w:lineRule="auto"/>
    </w:pPr>
  </w:style>
  <w:style w:type="character" w:customStyle="1" w:styleId="Corpsdetexte2Car">
    <w:name w:val="Corps de texte 2 Car"/>
    <w:link w:val="Corpsdetexte2"/>
    <w:uiPriority w:val="99"/>
    <w:rsid w:val="00F00A07"/>
    <w:rPr>
      <w:rFonts w:ascii="Calibri" w:eastAsia="Calibri" w:hAnsi="Calibri" w:cs="Times New Roman"/>
      <w:lang w:val="fr-FR"/>
    </w:rPr>
  </w:style>
  <w:style w:type="character" w:customStyle="1" w:styleId="longtext1">
    <w:name w:val="long_text1"/>
    <w:rsid w:val="00F00A07"/>
    <w:rPr>
      <w:rFonts w:cs="Times New Roman"/>
      <w:sz w:val="20"/>
      <w:szCs w:val="20"/>
    </w:rPr>
  </w:style>
  <w:style w:type="character" w:customStyle="1" w:styleId="tgc">
    <w:name w:val="_tgc"/>
    <w:basedOn w:val="Policepardfaut"/>
    <w:rsid w:val="00F00A07"/>
  </w:style>
  <w:style w:type="character" w:styleId="Marquedecommentaire">
    <w:name w:val="annotation reference"/>
    <w:uiPriority w:val="99"/>
    <w:semiHidden/>
    <w:unhideWhenUsed/>
    <w:rsid w:val="00F00A07"/>
    <w:rPr>
      <w:sz w:val="16"/>
      <w:szCs w:val="16"/>
    </w:rPr>
  </w:style>
  <w:style w:type="paragraph" w:styleId="Commentaire">
    <w:name w:val="annotation text"/>
    <w:basedOn w:val="Normal"/>
    <w:link w:val="CommentaireCar"/>
    <w:uiPriority w:val="99"/>
    <w:unhideWhenUsed/>
    <w:rsid w:val="00F00A07"/>
    <w:rPr>
      <w:sz w:val="20"/>
      <w:szCs w:val="20"/>
    </w:rPr>
  </w:style>
  <w:style w:type="character" w:customStyle="1" w:styleId="CommentaireCar">
    <w:name w:val="Commentaire Car"/>
    <w:link w:val="Commentaire"/>
    <w:uiPriority w:val="99"/>
    <w:rsid w:val="00F00A07"/>
    <w:rPr>
      <w:rFonts w:ascii="Calibri" w:eastAsia="Calibri" w:hAnsi="Calibri" w:cs="Times New Roman"/>
      <w:sz w:val="20"/>
      <w:szCs w:val="20"/>
      <w:lang w:val="fr-FR"/>
    </w:rPr>
  </w:style>
  <w:style w:type="paragraph" w:styleId="Textedebulles">
    <w:name w:val="Balloon Text"/>
    <w:basedOn w:val="Normal"/>
    <w:link w:val="TextedebullesCar"/>
    <w:uiPriority w:val="99"/>
    <w:semiHidden/>
    <w:unhideWhenUsed/>
    <w:rsid w:val="00F00A0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0A07"/>
    <w:rPr>
      <w:rFonts w:ascii="Tahoma" w:eastAsia="Calibri" w:hAnsi="Tahoma" w:cs="Tahoma"/>
      <w:sz w:val="16"/>
      <w:szCs w:val="16"/>
      <w:lang w:val="fr-FR"/>
    </w:rPr>
  </w:style>
  <w:style w:type="paragraph" w:customStyle="1" w:styleId="Default">
    <w:name w:val="Default"/>
    <w:rsid w:val="001D7D0F"/>
    <w:pPr>
      <w:autoSpaceDE w:val="0"/>
      <w:autoSpaceDN w:val="0"/>
      <w:adjustRightInd w:val="0"/>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C66A97"/>
    <w:rPr>
      <w:b/>
      <w:bCs/>
    </w:rPr>
  </w:style>
  <w:style w:type="character" w:customStyle="1" w:styleId="ObjetducommentaireCar">
    <w:name w:val="Objet du commentaire Car"/>
    <w:link w:val="Objetducommentaire"/>
    <w:uiPriority w:val="99"/>
    <w:semiHidden/>
    <w:rsid w:val="00C66A97"/>
    <w:rPr>
      <w:rFonts w:ascii="Calibri" w:eastAsia="Calibri" w:hAnsi="Calibri" w:cs="Times New Roman"/>
      <w:b/>
      <w:bCs/>
      <w:sz w:val="20"/>
      <w:szCs w:val="20"/>
      <w:lang w:val="fr-FR"/>
    </w:rPr>
  </w:style>
  <w:style w:type="character" w:customStyle="1" w:styleId="Titre1Car">
    <w:name w:val="Titre 1 Car"/>
    <w:basedOn w:val="Policepardfaut"/>
    <w:link w:val="Titre1"/>
    <w:uiPriority w:val="9"/>
    <w:rsid w:val="00D576EE"/>
    <w:rPr>
      <w:rFonts w:asciiTheme="majorHAnsi" w:eastAsiaTheme="majorEastAsia" w:hAnsiTheme="majorHAnsi" w:cstheme="majorBidi"/>
      <w:color w:val="2E74B5" w:themeColor="accent1" w:themeShade="BF"/>
      <w:sz w:val="32"/>
      <w:szCs w:val="32"/>
      <w:lang w:val="fr-FR"/>
    </w:rPr>
  </w:style>
  <w:style w:type="paragraph" w:styleId="En-ttedetabledesmatires">
    <w:name w:val="TOC Heading"/>
    <w:basedOn w:val="Titre1"/>
    <w:next w:val="Normal"/>
    <w:uiPriority w:val="39"/>
    <w:unhideWhenUsed/>
    <w:qFormat/>
    <w:rsid w:val="00D576EE"/>
    <w:pPr>
      <w:spacing w:line="259" w:lineRule="auto"/>
      <w:outlineLvl w:val="9"/>
    </w:pPr>
  </w:style>
  <w:style w:type="paragraph" w:styleId="TM1">
    <w:name w:val="toc 1"/>
    <w:basedOn w:val="Normal"/>
    <w:next w:val="Normal"/>
    <w:autoRedefine/>
    <w:uiPriority w:val="39"/>
    <w:unhideWhenUsed/>
    <w:rsid w:val="00D576EE"/>
    <w:pPr>
      <w:spacing w:after="100"/>
    </w:pPr>
  </w:style>
  <w:style w:type="character" w:styleId="Lienhypertexte">
    <w:name w:val="Hyperlink"/>
    <w:basedOn w:val="Policepardfaut"/>
    <w:uiPriority w:val="99"/>
    <w:unhideWhenUsed/>
    <w:rsid w:val="00D576EE"/>
    <w:rPr>
      <w:color w:val="0563C1" w:themeColor="hyperlink"/>
      <w:u w:val="single"/>
    </w:rPr>
  </w:style>
  <w:style w:type="paragraph" w:styleId="TM2">
    <w:name w:val="toc 2"/>
    <w:basedOn w:val="Normal"/>
    <w:next w:val="Normal"/>
    <w:autoRedefine/>
    <w:uiPriority w:val="39"/>
    <w:unhideWhenUsed/>
    <w:rsid w:val="00D576EE"/>
    <w:pPr>
      <w:spacing w:after="100" w:line="259" w:lineRule="auto"/>
      <w:ind w:left="220"/>
    </w:pPr>
    <w:rPr>
      <w:rFonts w:asciiTheme="minorHAnsi" w:eastAsiaTheme="minorEastAsia" w:hAnsiTheme="minorHAnsi"/>
    </w:rPr>
  </w:style>
  <w:style w:type="paragraph" w:styleId="TM3">
    <w:name w:val="toc 3"/>
    <w:basedOn w:val="Normal"/>
    <w:next w:val="Normal"/>
    <w:autoRedefine/>
    <w:uiPriority w:val="39"/>
    <w:unhideWhenUsed/>
    <w:rsid w:val="00D576EE"/>
    <w:pPr>
      <w:spacing w:after="100" w:line="259" w:lineRule="auto"/>
      <w:ind w:left="440"/>
    </w:pPr>
    <w:rPr>
      <w:rFonts w:asciiTheme="minorHAnsi" w:eastAsiaTheme="minorEastAsia" w:hAnsiTheme="minorHAnsi"/>
    </w:rPr>
  </w:style>
  <w:style w:type="character" w:customStyle="1" w:styleId="Titre2Car">
    <w:name w:val="Titre 2 Car"/>
    <w:basedOn w:val="Policepardfaut"/>
    <w:link w:val="Titre2"/>
    <w:uiPriority w:val="9"/>
    <w:rsid w:val="00507ABC"/>
    <w:rPr>
      <w:rFonts w:asciiTheme="majorHAnsi" w:eastAsiaTheme="majorEastAsia" w:hAnsiTheme="majorHAnsi" w:cstheme="majorBidi"/>
      <w:color w:val="2E74B5" w:themeColor="accent1" w:themeShade="BF"/>
      <w:sz w:val="26"/>
      <w:szCs w:val="26"/>
      <w:lang w:val="fr-FR"/>
    </w:rPr>
  </w:style>
  <w:style w:type="paragraph" w:styleId="Rvision">
    <w:name w:val="Revision"/>
    <w:hidden/>
    <w:uiPriority w:val="99"/>
    <w:semiHidden/>
    <w:rsid w:val="008C4E5C"/>
    <w:rPr>
      <w:sz w:val="22"/>
      <w:szCs w:val="22"/>
    </w:rPr>
  </w:style>
  <w:style w:type="character" w:customStyle="1" w:styleId="ParagraphedelisteCar">
    <w:name w:val="Paragraphe de liste Car"/>
    <w:aliases w:val="Paragraphe  revu Car,Paragraphe de liste1 Car,References Car,Bullets Car,Figures Car,Liste 1 Car,List Paragraph1 Car,Ha Car,L_4 Car,Paragraphe de liste4 Car,- List tir Car,liste 1 Car,puce 1 Car,List Paragraph (numbered (a)) Car"/>
    <w:link w:val="Paragraphedeliste"/>
    <w:uiPriority w:val="34"/>
    <w:qFormat/>
    <w:locked/>
    <w:rsid w:val="004A0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143">
      <w:bodyDiv w:val="1"/>
      <w:marLeft w:val="0"/>
      <w:marRight w:val="0"/>
      <w:marTop w:val="0"/>
      <w:marBottom w:val="0"/>
      <w:divBdr>
        <w:top w:val="none" w:sz="0" w:space="0" w:color="auto"/>
        <w:left w:val="none" w:sz="0" w:space="0" w:color="auto"/>
        <w:bottom w:val="none" w:sz="0" w:space="0" w:color="auto"/>
        <w:right w:val="none" w:sz="0" w:space="0" w:color="auto"/>
      </w:divBdr>
      <w:divsChild>
        <w:div w:id="1366640696">
          <w:marLeft w:val="0"/>
          <w:marRight w:val="0"/>
          <w:marTop w:val="0"/>
          <w:marBottom w:val="0"/>
          <w:divBdr>
            <w:top w:val="none" w:sz="0" w:space="0" w:color="auto"/>
            <w:left w:val="none" w:sz="0" w:space="0" w:color="auto"/>
            <w:bottom w:val="none" w:sz="0" w:space="0" w:color="auto"/>
            <w:right w:val="none" w:sz="0" w:space="0" w:color="auto"/>
          </w:divBdr>
          <w:divsChild>
            <w:div w:id="873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2B56-D5E7-412C-AEA5-10FBC004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9691</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Bonlong</dc:creator>
  <cp:keywords/>
  <cp:lastModifiedBy>Utilisateur Windows</cp:lastModifiedBy>
  <cp:revision>2</cp:revision>
  <dcterms:created xsi:type="dcterms:W3CDTF">2023-11-29T23:40:00Z</dcterms:created>
  <dcterms:modified xsi:type="dcterms:W3CDTF">2023-11-29T23:40:00Z</dcterms:modified>
</cp:coreProperties>
</file>