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1"/>
        <w:tblW w:w="0" w:type="auto"/>
        <w:tblBorders>
          <w:top w:val="none" w:sz="0" w:space="0" w:color="auto"/>
          <w:left w:val="none" w:sz="0" w:space="0" w:color="auto"/>
          <w:bottom w:val="single" w:sz="4" w:space="0" w:color="0070C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84"/>
        <w:gridCol w:w="6946"/>
        <w:gridCol w:w="1448"/>
      </w:tblGrid>
      <w:tr w:rsidR="000C401B" w:rsidRPr="00C267E3" w:rsidTr="008B504B">
        <w:tc>
          <w:tcPr>
            <w:tcW w:w="1384" w:type="dxa"/>
          </w:tcPr>
          <w:p w:rsidR="000C401B" w:rsidRPr="00C267E3" w:rsidRDefault="000C401B" w:rsidP="008B504B">
            <w:pPr>
              <w:rPr>
                <w:sz w:val="22"/>
              </w:rPr>
            </w:pPr>
            <w:bookmarkStart w:id="0" w:name="_Hlk69729393"/>
            <w:bookmarkStart w:id="1" w:name="_GoBack"/>
            <w:bookmarkEnd w:id="1"/>
            <w:r>
              <w:rPr>
                <w:noProof/>
                <w:lang w:eastAsia="fr-FR"/>
              </w:rPr>
              <w:drawing>
                <wp:inline distT="0" distB="0" distL="0" distR="0" wp14:anchorId="563DE465" wp14:editId="1F6FDACC">
                  <wp:extent cx="837344" cy="647272"/>
                  <wp:effectExtent l="0" t="0" r="127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1079" t="17881" r="21910" b="25165"/>
                          <a:stretch/>
                        </pic:blipFill>
                        <pic:spPr bwMode="auto">
                          <a:xfrm>
                            <a:off x="0" y="0"/>
                            <a:ext cx="838081" cy="647842"/>
                          </a:xfrm>
                          <a:prstGeom prst="rect">
                            <a:avLst/>
                          </a:prstGeom>
                          <a:ln>
                            <a:noFill/>
                          </a:ln>
                          <a:extLst>
                            <a:ext uri="{53640926-AAD7-44D8-BBD7-CCE9431645EC}">
                              <a14:shadowObscured xmlns:a14="http://schemas.microsoft.com/office/drawing/2010/main"/>
                            </a:ext>
                          </a:extLst>
                        </pic:spPr>
                      </pic:pic>
                    </a:graphicData>
                  </a:graphic>
                </wp:inline>
              </w:drawing>
            </w:r>
          </w:p>
        </w:tc>
        <w:tc>
          <w:tcPr>
            <w:tcW w:w="6946" w:type="dxa"/>
          </w:tcPr>
          <w:p w:rsidR="000C401B" w:rsidRPr="00C267E3" w:rsidRDefault="000C401B" w:rsidP="008B504B">
            <w:pPr>
              <w:spacing w:after="60"/>
              <w:jc w:val="center"/>
              <w:rPr>
                <w:sz w:val="22"/>
              </w:rPr>
            </w:pPr>
            <w:r w:rsidRPr="00C267E3">
              <w:rPr>
                <w:sz w:val="22"/>
              </w:rPr>
              <w:t>République Islamique de Mauritanie</w:t>
            </w:r>
          </w:p>
          <w:p w:rsidR="000C401B" w:rsidRPr="00C267E3" w:rsidRDefault="000C401B" w:rsidP="008B504B">
            <w:pPr>
              <w:spacing w:after="60"/>
              <w:jc w:val="center"/>
              <w:rPr>
                <w:sz w:val="22"/>
              </w:rPr>
            </w:pPr>
            <w:r w:rsidRPr="00C267E3">
              <w:rPr>
                <w:sz w:val="22"/>
              </w:rPr>
              <w:t>Présidence de la République</w:t>
            </w:r>
          </w:p>
          <w:p w:rsidR="000C401B" w:rsidRPr="00C267E3" w:rsidRDefault="000C401B" w:rsidP="008B504B">
            <w:pPr>
              <w:jc w:val="center"/>
              <w:rPr>
                <w:b/>
                <w:bCs/>
                <w:sz w:val="22"/>
              </w:rPr>
            </w:pPr>
            <w:r w:rsidRPr="00C267E3">
              <w:rPr>
                <w:b/>
                <w:bCs/>
                <w:sz w:val="22"/>
              </w:rPr>
              <w:t>DELEGATION GENERALE A LA SOLIDARITE NATIONALE ET A LA LUTTE CONTRE L’EXCLUSION (TAAZOUR)</w:t>
            </w:r>
          </w:p>
        </w:tc>
        <w:tc>
          <w:tcPr>
            <w:tcW w:w="1448" w:type="dxa"/>
          </w:tcPr>
          <w:p w:rsidR="000C401B" w:rsidRPr="00C267E3" w:rsidRDefault="000C401B" w:rsidP="008B504B">
            <w:pPr>
              <w:jc w:val="right"/>
              <w:rPr>
                <w:sz w:val="22"/>
              </w:rPr>
            </w:pPr>
            <w:r w:rsidRPr="00C267E3">
              <w:rPr>
                <w:rFonts w:cstheme="majorBidi"/>
                <w:noProof/>
                <w:lang w:eastAsia="fr-FR"/>
              </w:rPr>
              <w:drawing>
                <wp:inline distT="0" distB="0" distL="0" distR="0" wp14:anchorId="2129915D" wp14:editId="52BA5AAD">
                  <wp:extent cx="648000" cy="648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eau-RI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inline>
              </w:drawing>
            </w:r>
          </w:p>
        </w:tc>
      </w:tr>
      <w:bookmarkEnd w:id="0"/>
    </w:tbl>
    <w:p w:rsidR="00CC7792" w:rsidRDefault="00CC7792" w:rsidP="00DF36F4"/>
    <w:p w:rsidR="000C401B" w:rsidRPr="000C401B" w:rsidRDefault="000C401B" w:rsidP="000C401B">
      <w:pPr>
        <w:spacing w:after="120" w:line="240" w:lineRule="auto"/>
        <w:jc w:val="center"/>
        <w:rPr>
          <w:rFonts w:ascii="Cambria" w:eastAsia="Times New Roman" w:hAnsi="Cambria" w:cs="Cambria"/>
          <w:b/>
          <w:bCs/>
          <w:sz w:val="24"/>
          <w:szCs w:val="24"/>
          <w:lang w:eastAsia="fr-FR"/>
        </w:rPr>
      </w:pPr>
      <w:r w:rsidRPr="000C401B">
        <w:rPr>
          <w:rFonts w:ascii="Cambria" w:eastAsia="Times New Roman" w:hAnsi="Cambria" w:cs="Cambria"/>
          <w:b/>
          <w:bCs/>
          <w:sz w:val="24"/>
          <w:szCs w:val="24"/>
          <w:lang w:eastAsia="fr-FR"/>
        </w:rPr>
        <w:t xml:space="preserve">Programme TEMWINE : </w:t>
      </w:r>
      <w:r>
        <w:rPr>
          <w:rFonts w:ascii="Cambria" w:eastAsia="Times New Roman" w:hAnsi="Cambria" w:cs="Cambria"/>
          <w:b/>
          <w:bCs/>
          <w:sz w:val="24"/>
          <w:szCs w:val="24"/>
          <w:lang w:eastAsia="fr-FR"/>
        </w:rPr>
        <w:t>P</w:t>
      </w:r>
      <w:r w:rsidRPr="000C401B">
        <w:rPr>
          <w:rFonts w:ascii="Cambria" w:eastAsia="Times New Roman" w:hAnsi="Cambria" w:cs="Cambria"/>
          <w:b/>
          <w:bCs/>
          <w:sz w:val="24"/>
          <w:szCs w:val="24"/>
          <w:lang w:eastAsia="fr-FR"/>
        </w:rPr>
        <w:t>our assurer la sécurité alimentaire et la défense du pouvoir d’achat des populations pauvres et vulnérables.</w:t>
      </w:r>
    </w:p>
    <w:p w:rsidR="000C401B" w:rsidRDefault="000C401B" w:rsidP="000C401B">
      <w:pPr>
        <w:rPr>
          <w:rFonts w:ascii="LouguiyaFR" w:hAnsi="LouguiyaFR"/>
          <w:b/>
          <w:bCs/>
          <w:sz w:val="32"/>
          <w:szCs w:val="32"/>
        </w:rPr>
      </w:pPr>
    </w:p>
    <w:p w:rsidR="002F5F41" w:rsidRDefault="002F5F41" w:rsidP="000C401B">
      <w:pPr>
        <w:rPr>
          <w:rFonts w:ascii="LouguiyaFR" w:hAnsi="LouguiyaFR"/>
          <w:b/>
          <w:bCs/>
          <w:sz w:val="32"/>
          <w:szCs w:val="32"/>
        </w:rPr>
      </w:pPr>
    </w:p>
    <w:p w:rsidR="002F5F41" w:rsidRDefault="002F5F41" w:rsidP="000C401B">
      <w:pPr>
        <w:rPr>
          <w:rFonts w:ascii="LouguiyaFR" w:hAnsi="LouguiyaFR"/>
          <w:b/>
          <w:bCs/>
          <w:sz w:val="32"/>
          <w:szCs w:val="32"/>
        </w:rPr>
      </w:pPr>
    </w:p>
    <w:p w:rsidR="008E672A" w:rsidRDefault="008E672A" w:rsidP="000C401B">
      <w:pPr>
        <w:rPr>
          <w:rFonts w:ascii="LouguiyaFR" w:hAnsi="LouguiyaFR"/>
          <w:b/>
          <w:bCs/>
          <w:sz w:val="32"/>
          <w:szCs w:val="32"/>
        </w:rPr>
      </w:pPr>
    </w:p>
    <w:p w:rsidR="008E672A" w:rsidRDefault="008E672A" w:rsidP="000C401B">
      <w:pPr>
        <w:rPr>
          <w:rFonts w:ascii="LouguiyaFR" w:hAnsi="LouguiyaFR"/>
          <w:b/>
          <w:bCs/>
          <w:sz w:val="32"/>
          <w:szCs w:val="32"/>
        </w:rPr>
      </w:pPr>
    </w:p>
    <w:p w:rsidR="008E672A" w:rsidRDefault="008E672A" w:rsidP="000C401B">
      <w:pPr>
        <w:rPr>
          <w:rFonts w:ascii="LouguiyaFR" w:hAnsi="LouguiyaFR"/>
          <w:b/>
          <w:bCs/>
          <w:sz w:val="32"/>
          <w:szCs w:val="32"/>
        </w:rPr>
      </w:pPr>
    </w:p>
    <w:p w:rsidR="008E672A" w:rsidRDefault="008E672A" w:rsidP="000C401B">
      <w:pPr>
        <w:pBdr>
          <w:top w:val="single" w:sz="4" w:space="1" w:color="auto"/>
          <w:left w:val="single" w:sz="4" w:space="4" w:color="auto"/>
          <w:bottom w:val="single" w:sz="4" w:space="1" w:color="auto"/>
          <w:right w:val="single" w:sz="4" w:space="4" w:color="auto"/>
        </w:pBdr>
        <w:shd w:val="clear" w:color="auto" w:fill="FBE4D5" w:themeFill="accent2" w:themeFillTint="33"/>
        <w:jc w:val="center"/>
        <w:rPr>
          <w:rFonts w:ascii="Tw Cen MT" w:hAnsi="Tw Cen MT"/>
          <w:b/>
          <w:bCs/>
          <w:sz w:val="24"/>
          <w:szCs w:val="24"/>
        </w:rPr>
      </w:pPr>
    </w:p>
    <w:p w:rsidR="00821965" w:rsidRDefault="000C401B" w:rsidP="00821965">
      <w:pPr>
        <w:pBdr>
          <w:top w:val="single" w:sz="4" w:space="1" w:color="auto"/>
          <w:left w:val="single" w:sz="4" w:space="4" w:color="auto"/>
          <w:bottom w:val="single" w:sz="4" w:space="1" w:color="auto"/>
          <w:right w:val="single" w:sz="4" w:space="4" w:color="auto"/>
        </w:pBdr>
        <w:shd w:val="clear" w:color="auto" w:fill="FBE4D5" w:themeFill="accent2" w:themeFillTint="33"/>
        <w:jc w:val="center"/>
        <w:rPr>
          <w:rFonts w:ascii="Tw Cen MT" w:hAnsi="Tw Cen MT"/>
          <w:b/>
          <w:bCs/>
          <w:sz w:val="24"/>
          <w:szCs w:val="24"/>
        </w:rPr>
      </w:pPr>
      <w:r w:rsidRPr="000C401B">
        <w:rPr>
          <w:rFonts w:ascii="Tw Cen MT" w:hAnsi="Tw Cen MT"/>
          <w:b/>
          <w:bCs/>
          <w:sz w:val="24"/>
          <w:szCs w:val="24"/>
        </w:rPr>
        <w:t xml:space="preserve">Termes de Références (TDR) pour le recrutement d’un </w:t>
      </w:r>
      <w:r w:rsidR="00821965">
        <w:rPr>
          <w:rFonts w:ascii="Tw Cen MT" w:hAnsi="Tw Cen MT"/>
          <w:b/>
          <w:bCs/>
          <w:sz w:val="24"/>
          <w:szCs w:val="24"/>
        </w:rPr>
        <w:t>consultant</w:t>
      </w:r>
      <w:r w:rsidRPr="000C401B">
        <w:rPr>
          <w:rFonts w:ascii="Tw Cen MT" w:hAnsi="Tw Cen MT"/>
          <w:b/>
          <w:bCs/>
          <w:sz w:val="24"/>
          <w:szCs w:val="24"/>
        </w:rPr>
        <w:t xml:space="preserve"> spécialisé </w:t>
      </w:r>
      <w:r w:rsidR="00821965">
        <w:rPr>
          <w:rFonts w:ascii="Tw Cen MT" w:hAnsi="Tw Cen MT"/>
          <w:b/>
          <w:bCs/>
          <w:sz w:val="24"/>
          <w:szCs w:val="24"/>
        </w:rPr>
        <w:t xml:space="preserve">en vue d’actualiser l’étude sur le personnel des boutiques TEMWINE et d’accompagner le programme dans sa phase de restructuration </w:t>
      </w:r>
    </w:p>
    <w:p w:rsidR="008E672A" w:rsidRPr="000C401B" w:rsidRDefault="008E672A" w:rsidP="000C401B">
      <w:pPr>
        <w:pBdr>
          <w:top w:val="single" w:sz="4" w:space="1" w:color="auto"/>
          <w:left w:val="single" w:sz="4" w:space="4" w:color="auto"/>
          <w:bottom w:val="single" w:sz="4" w:space="1" w:color="auto"/>
          <w:right w:val="single" w:sz="4" w:space="4" w:color="auto"/>
        </w:pBdr>
        <w:shd w:val="clear" w:color="auto" w:fill="FBE4D5" w:themeFill="accent2" w:themeFillTint="33"/>
        <w:jc w:val="center"/>
        <w:rPr>
          <w:rFonts w:ascii="Tw Cen MT" w:hAnsi="Tw Cen MT"/>
          <w:b/>
          <w:bCs/>
          <w:sz w:val="24"/>
          <w:szCs w:val="24"/>
        </w:rPr>
      </w:pPr>
    </w:p>
    <w:p w:rsidR="000C401B" w:rsidRDefault="000C401B" w:rsidP="000C401B">
      <w:pPr>
        <w:spacing w:after="0"/>
        <w:jc w:val="both"/>
        <w:rPr>
          <w:rFonts w:ascii="Tw Cen MT" w:eastAsia="Times New Roman" w:hAnsi="Tw Cen MT" w:cs="Times New Roman"/>
          <w:b/>
          <w:bCs/>
          <w:sz w:val="24"/>
          <w:szCs w:val="24"/>
          <w:lang w:eastAsia="fr-FR"/>
        </w:rPr>
      </w:pPr>
    </w:p>
    <w:p w:rsidR="002F5F41" w:rsidRDefault="002F5F41" w:rsidP="000C401B">
      <w:pPr>
        <w:spacing w:after="0"/>
        <w:jc w:val="both"/>
        <w:rPr>
          <w:rFonts w:ascii="Tw Cen MT" w:eastAsia="Times New Roman" w:hAnsi="Tw Cen MT" w:cs="Times New Roman"/>
          <w:b/>
          <w:bCs/>
          <w:sz w:val="24"/>
          <w:szCs w:val="24"/>
          <w:lang w:eastAsia="fr-FR"/>
        </w:rPr>
      </w:pPr>
    </w:p>
    <w:p w:rsidR="008E672A" w:rsidRDefault="008E672A" w:rsidP="000C401B">
      <w:pPr>
        <w:spacing w:after="0"/>
        <w:jc w:val="both"/>
        <w:rPr>
          <w:rFonts w:ascii="Tw Cen MT" w:eastAsia="Times New Roman" w:hAnsi="Tw Cen MT" w:cs="Times New Roman"/>
          <w:sz w:val="24"/>
          <w:szCs w:val="24"/>
          <w:lang w:eastAsia="fr-FR"/>
        </w:rPr>
      </w:pPr>
    </w:p>
    <w:p w:rsidR="008E672A" w:rsidRDefault="008E672A" w:rsidP="000C401B">
      <w:pPr>
        <w:spacing w:after="0"/>
        <w:jc w:val="both"/>
        <w:rPr>
          <w:rFonts w:ascii="Tw Cen MT" w:eastAsia="Times New Roman" w:hAnsi="Tw Cen MT" w:cs="Times New Roman"/>
          <w:sz w:val="24"/>
          <w:szCs w:val="24"/>
          <w:lang w:eastAsia="fr-FR"/>
        </w:rPr>
      </w:pPr>
    </w:p>
    <w:p w:rsidR="008E672A" w:rsidRDefault="008E672A" w:rsidP="000C401B">
      <w:pPr>
        <w:spacing w:after="0"/>
        <w:jc w:val="both"/>
        <w:rPr>
          <w:rFonts w:ascii="Tw Cen MT" w:eastAsia="Times New Roman" w:hAnsi="Tw Cen MT" w:cs="Times New Roman"/>
          <w:sz w:val="24"/>
          <w:szCs w:val="24"/>
          <w:lang w:eastAsia="fr-FR"/>
        </w:rPr>
      </w:pPr>
    </w:p>
    <w:p w:rsidR="008E672A" w:rsidRDefault="008E672A" w:rsidP="000C401B">
      <w:pPr>
        <w:spacing w:after="0"/>
        <w:jc w:val="both"/>
        <w:rPr>
          <w:rFonts w:ascii="Tw Cen MT" w:eastAsia="Times New Roman" w:hAnsi="Tw Cen MT" w:cs="Times New Roman"/>
          <w:sz w:val="24"/>
          <w:szCs w:val="24"/>
          <w:lang w:eastAsia="fr-FR"/>
        </w:rPr>
      </w:pPr>
    </w:p>
    <w:p w:rsidR="008E672A" w:rsidRPr="00C928BF" w:rsidRDefault="008E672A" w:rsidP="000C401B">
      <w:pPr>
        <w:spacing w:after="0"/>
        <w:jc w:val="both"/>
        <w:rPr>
          <w:rFonts w:ascii="Tw Cen MT" w:eastAsia="Times New Roman" w:hAnsi="Tw Cen MT" w:cs="Times New Roman"/>
          <w:sz w:val="24"/>
          <w:szCs w:val="24"/>
          <w:lang w:eastAsia="fr-FR"/>
        </w:rPr>
      </w:pPr>
    </w:p>
    <w:p w:rsidR="00C928BF" w:rsidRPr="002F5F41" w:rsidRDefault="00C928BF" w:rsidP="000C401B">
      <w:pPr>
        <w:pStyle w:val="Paragraphedeliste"/>
        <w:numPr>
          <w:ilvl w:val="0"/>
          <w:numId w:val="9"/>
        </w:numPr>
        <w:spacing w:after="0"/>
        <w:jc w:val="both"/>
        <w:rPr>
          <w:rFonts w:ascii="Tw Cen MT" w:eastAsia="Times New Roman" w:hAnsi="Tw Cen MT" w:cs="Times New Roman"/>
          <w:b/>
          <w:bCs/>
          <w:lang w:eastAsia="fr-FR"/>
        </w:rPr>
      </w:pPr>
      <w:r w:rsidRPr="002F5F41">
        <w:rPr>
          <w:rFonts w:ascii="Tw Cen MT" w:eastAsia="Times New Roman" w:hAnsi="Tw Cen MT" w:cs="Times New Roman"/>
          <w:b/>
          <w:bCs/>
          <w:lang w:eastAsia="fr-FR"/>
        </w:rPr>
        <w:t>Contexte :</w:t>
      </w:r>
    </w:p>
    <w:p w:rsidR="000C401B" w:rsidRPr="002F5F41" w:rsidRDefault="000C401B" w:rsidP="000C401B">
      <w:pPr>
        <w:pStyle w:val="Paragraphedeliste"/>
        <w:spacing w:after="0"/>
        <w:jc w:val="both"/>
        <w:rPr>
          <w:rFonts w:ascii="Tw Cen MT" w:eastAsia="Times New Roman" w:hAnsi="Tw Cen MT" w:cs="Times New Roman"/>
          <w:lang w:eastAsia="fr-FR"/>
        </w:rPr>
      </w:pPr>
    </w:p>
    <w:p w:rsidR="00C928BF" w:rsidRPr="00C928BF" w:rsidRDefault="00C928BF" w:rsidP="000C401B">
      <w:pPr>
        <w:spacing w:after="120"/>
        <w:jc w:val="both"/>
        <w:rPr>
          <w:rFonts w:ascii="Tw Cen MT" w:eastAsia="Times New Roman" w:hAnsi="Tw Cen MT" w:cs="Times New Roman"/>
          <w:lang w:eastAsia="fr-FR"/>
        </w:rPr>
      </w:pPr>
      <w:r w:rsidRPr="00C928BF">
        <w:rPr>
          <w:rFonts w:ascii="Tw Cen MT" w:eastAsia="Times New Roman" w:hAnsi="Tw Cen MT" w:cs="Times New Roman"/>
          <w:lang w:eastAsia="fr-FR"/>
        </w:rPr>
        <w:t>Le programme TEMWINE, piloté par la Délégation Générale à la Solidarité Nationale et à la Lutte contre l’Exclusion (TAAZOUR), a pour objectif de soutenir les populations vulnérables en garantissant l’accès à des produits alimentaires de base à des prix subventionnés. Toutefois, plusieurs défis opérationnels et financiers ont été identifiés, notamment :</w:t>
      </w:r>
    </w:p>
    <w:p w:rsidR="00C928BF" w:rsidRPr="00C928BF" w:rsidRDefault="00C928BF" w:rsidP="000C401B">
      <w:pPr>
        <w:numPr>
          <w:ilvl w:val="0"/>
          <w:numId w:val="15"/>
        </w:numPr>
        <w:spacing w:after="0"/>
        <w:jc w:val="both"/>
        <w:rPr>
          <w:rFonts w:ascii="Tw Cen MT" w:eastAsia="Times New Roman" w:hAnsi="Tw Cen MT" w:cs="Times New Roman"/>
          <w:lang w:eastAsia="fr-FR"/>
        </w:rPr>
      </w:pPr>
      <w:r w:rsidRPr="00C928BF">
        <w:rPr>
          <w:rFonts w:ascii="Tw Cen MT" w:eastAsia="Times New Roman" w:hAnsi="Tw Cen MT" w:cs="Times New Roman"/>
          <w:lang w:eastAsia="fr-FR"/>
        </w:rPr>
        <w:t>Des charges opérationnelles élevées ;</w:t>
      </w:r>
    </w:p>
    <w:p w:rsidR="00C928BF" w:rsidRPr="00C928BF" w:rsidRDefault="00C928BF" w:rsidP="000C401B">
      <w:pPr>
        <w:numPr>
          <w:ilvl w:val="0"/>
          <w:numId w:val="15"/>
        </w:numPr>
        <w:spacing w:after="120"/>
        <w:jc w:val="both"/>
        <w:rPr>
          <w:rFonts w:ascii="Tw Cen MT" w:eastAsia="Times New Roman" w:hAnsi="Tw Cen MT" w:cs="Times New Roman"/>
          <w:lang w:eastAsia="fr-FR"/>
        </w:rPr>
      </w:pPr>
      <w:r w:rsidRPr="00C928BF">
        <w:rPr>
          <w:rFonts w:ascii="Tw Cen MT" w:eastAsia="Times New Roman" w:hAnsi="Tw Cen MT" w:cs="Times New Roman"/>
          <w:lang w:eastAsia="fr-FR"/>
        </w:rPr>
        <w:t>Un ciblage inapproprié des bénéficiaires.</w:t>
      </w:r>
    </w:p>
    <w:p w:rsidR="00C928BF" w:rsidRDefault="00C928BF" w:rsidP="000C401B">
      <w:pPr>
        <w:spacing w:after="120"/>
        <w:jc w:val="both"/>
        <w:rPr>
          <w:rFonts w:ascii="Tw Cen MT" w:eastAsia="Times New Roman" w:hAnsi="Tw Cen MT" w:cs="Times New Roman"/>
          <w:lang w:eastAsia="fr-FR"/>
        </w:rPr>
      </w:pPr>
      <w:r w:rsidRPr="00C928BF">
        <w:rPr>
          <w:rFonts w:ascii="Tw Cen MT" w:eastAsia="Times New Roman" w:hAnsi="Tw Cen MT" w:cs="Times New Roman"/>
          <w:lang w:eastAsia="fr-FR"/>
        </w:rPr>
        <w:t>Pour remédier à ces insuffisances, les pouvoirs publics, suite à une évaluation menée par les structures de TAAZOUR, ont décidé de mettre en œuvre une restructuration visant à améliorer l’efficience et l’efficacité du programme, et ainsi maximiser son impact positif sur les populations cibles.</w:t>
      </w:r>
    </w:p>
    <w:p w:rsidR="008E672A" w:rsidRPr="00C928BF" w:rsidRDefault="008E672A" w:rsidP="000C401B">
      <w:pPr>
        <w:spacing w:after="120"/>
        <w:jc w:val="both"/>
        <w:rPr>
          <w:rFonts w:ascii="Tw Cen MT" w:eastAsia="Times New Roman" w:hAnsi="Tw Cen MT" w:cs="Times New Roman"/>
          <w:lang w:eastAsia="fr-FR"/>
        </w:rPr>
      </w:pPr>
    </w:p>
    <w:p w:rsidR="00C928BF" w:rsidRPr="00C928BF" w:rsidRDefault="00C928BF" w:rsidP="000C401B">
      <w:pPr>
        <w:spacing w:after="120"/>
        <w:jc w:val="both"/>
        <w:rPr>
          <w:rFonts w:ascii="Tw Cen MT" w:eastAsia="Times New Roman" w:hAnsi="Tw Cen MT" w:cs="Times New Roman"/>
          <w:lang w:eastAsia="fr-FR"/>
        </w:rPr>
      </w:pPr>
      <w:r w:rsidRPr="00C928BF">
        <w:rPr>
          <w:rFonts w:ascii="Tw Cen MT" w:eastAsia="Times New Roman" w:hAnsi="Tw Cen MT" w:cs="Times New Roman"/>
          <w:lang w:eastAsia="fr-FR"/>
        </w:rPr>
        <w:lastRenderedPageBreak/>
        <w:t>Cette restructuration vise à :</w:t>
      </w:r>
    </w:p>
    <w:p w:rsidR="00C928BF" w:rsidRPr="00C928BF" w:rsidRDefault="00C928BF" w:rsidP="000C401B">
      <w:pPr>
        <w:numPr>
          <w:ilvl w:val="0"/>
          <w:numId w:val="14"/>
        </w:numPr>
        <w:spacing w:after="0"/>
        <w:jc w:val="both"/>
        <w:rPr>
          <w:rFonts w:ascii="Tw Cen MT" w:eastAsia="Times New Roman" w:hAnsi="Tw Cen MT" w:cs="Times New Roman"/>
          <w:lang w:eastAsia="fr-FR"/>
        </w:rPr>
      </w:pPr>
      <w:r w:rsidRPr="00C928BF">
        <w:rPr>
          <w:rFonts w:ascii="Tw Cen MT" w:eastAsia="Times New Roman" w:hAnsi="Tw Cen MT" w:cs="Times New Roman"/>
          <w:lang w:eastAsia="fr-FR"/>
        </w:rPr>
        <w:t>Optimiser l’approvisionnement des bénéficiaires par l'homologation des boutiques privées en milieu urbain et la gestion du programme par les communautés au niveau rural ;</w:t>
      </w:r>
    </w:p>
    <w:p w:rsidR="00C928BF" w:rsidRPr="00C928BF" w:rsidRDefault="00C928BF" w:rsidP="000C401B">
      <w:pPr>
        <w:numPr>
          <w:ilvl w:val="0"/>
          <w:numId w:val="14"/>
        </w:numPr>
        <w:spacing w:after="0"/>
        <w:jc w:val="both"/>
        <w:rPr>
          <w:rFonts w:ascii="Tw Cen MT" w:eastAsia="Times New Roman" w:hAnsi="Tw Cen MT" w:cs="Times New Roman"/>
          <w:lang w:eastAsia="fr-FR"/>
        </w:rPr>
      </w:pPr>
      <w:r w:rsidRPr="00C928BF">
        <w:rPr>
          <w:rFonts w:ascii="Tw Cen MT" w:eastAsia="Times New Roman" w:hAnsi="Tw Cen MT" w:cs="Times New Roman"/>
          <w:lang w:eastAsia="fr-FR"/>
        </w:rPr>
        <w:t>Cibler précisément les bénéficiaires dans chaque zone à l’aide des données du Registre Social, en impliquant les autorités locales et les communautés ;</w:t>
      </w:r>
    </w:p>
    <w:p w:rsidR="00C928BF" w:rsidRPr="00C928BF" w:rsidRDefault="00C928BF" w:rsidP="000C401B">
      <w:pPr>
        <w:numPr>
          <w:ilvl w:val="0"/>
          <w:numId w:val="14"/>
        </w:numPr>
        <w:spacing w:after="120"/>
        <w:jc w:val="both"/>
        <w:rPr>
          <w:rFonts w:ascii="Tw Cen MT" w:eastAsia="Times New Roman" w:hAnsi="Tw Cen MT" w:cs="Times New Roman"/>
          <w:lang w:eastAsia="fr-FR"/>
        </w:rPr>
      </w:pPr>
      <w:r w:rsidRPr="00C928BF">
        <w:rPr>
          <w:rFonts w:ascii="Tw Cen MT" w:eastAsia="Times New Roman" w:hAnsi="Tw Cen MT" w:cs="Times New Roman"/>
          <w:lang w:eastAsia="fr-FR"/>
        </w:rPr>
        <w:t>Améliorer la gestion des ressources humaines du programme.</w:t>
      </w:r>
    </w:p>
    <w:p w:rsidR="004B3582" w:rsidRDefault="00C928BF" w:rsidP="000C401B">
      <w:pPr>
        <w:spacing w:after="120"/>
        <w:jc w:val="both"/>
        <w:rPr>
          <w:rFonts w:ascii="Tw Cen MT" w:eastAsia="Times New Roman" w:hAnsi="Tw Cen MT" w:cs="Times New Roman"/>
          <w:lang w:eastAsia="fr-FR"/>
        </w:rPr>
      </w:pPr>
      <w:r w:rsidRPr="00C928BF">
        <w:rPr>
          <w:rFonts w:ascii="Tw Cen MT" w:eastAsia="Times New Roman" w:hAnsi="Tw Cen MT" w:cs="Times New Roman"/>
          <w:lang w:eastAsia="fr-FR"/>
        </w:rPr>
        <w:t>Dans ce contexte, la Délégation Générale à la Solidarité Nationale et à la Lutte contre l’Exclusion (TAAZOUR) c</w:t>
      </w:r>
      <w:r w:rsidR="004B3582">
        <w:rPr>
          <w:rFonts w:ascii="Tw Cen MT" w:eastAsia="Times New Roman" w:hAnsi="Tw Cen MT" w:cs="Times New Roman"/>
          <w:lang w:eastAsia="fr-FR"/>
        </w:rPr>
        <w:t>onsidère qu'il est impératif d’optimiser la gestion des ressources humaines impliqués dans la gestion du programme.</w:t>
      </w:r>
    </w:p>
    <w:p w:rsidR="00C928BF" w:rsidRPr="00C928BF" w:rsidRDefault="00C928BF" w:rsidP="002F5F41">
      <w:pPr>
        <w:spacing w:after="0"/>
        <w:jc w:val="both"/>
        <w:rPr>
          <w:rFonts w:ascii="Tw Cen MT" w:eastAsia="Times New Roman" w:hAnsi="Tw Cen MT" w:cs="Times New Roman"/>
          <w:lang w:eastAsia="fr-FR"/>
        </w:rPr>
      </w:pPr>
      <w:r w:rsidRPr="00C928BF">
        <w:rPr>
          <w:rFonts w:ascii="Tw Cen MT" w:eastAsia="Times New Roman" w:hAnsi="Tw Cen MT" w:cs="Times New Roman"/>
          <w:b/>
          <w:bCs/>
          <w:lang w:eastAsia="fr-FR"/>
        </w:rPr>
        <w:t>B. Objectif général :</w:t>
      </w:r>
    </w:p>
    <w:p w:rsidR="00C928BF" w:rsidRPr="00C928BF" w:rsidRDefault="00D26DD7" w:rsidP="00D26DD7">
      <w:pPr>
        <w:spacing w:after="120"/>
        <w:jc w:val="both"/>
        <w:rPr>
          <w:rFonts w:ascii="Tw Cen MT" w:eastAsia="Times New Roman" w:hAnsi="Tw Cen MT" w:cs="Times New Roman"/>
          <w:lang w:eastAsia="fr-FR"/>
        </w:rPr>
      </w:pPr>
      <w:r>
        <w:rPr>
          <w:rFonts w:ascii="Tw Cen MT" w:eastAsia="Times New Roman" w:hAnsi="Tw Cen MT" w:cs="Times New Roman"/>
          <w:lang w:eastAsia="fr-FR"/>
        </w:rPr>
        <w:t>Appuyer le programme TEMWINE dans sa phase de restructuration et actualiser l’étude déjà réalisé</w:t>
      </w:r>
      <w:r w:rsidR="003C1F1A">
        <w:rPr>
          <w:rFonts w:ascii="Tw Cen MT" w:eastAsia="Times New Roman" w:hAnsi="Tw Cen MT" w:cs="Times New Roman"/>
          <w:lang w:eastAsia="fr-FR"/>
        </w:rPr>
        <w:t>e</w:t>
      </w:r>
      <w:r>
        <w:rPr>
          <w:rFonts w:ascii="Tw Cen MT" w:eastAsia="Times New Roman" w:hAnsi="Tw Cen MT" w:cs="Times New Roman"/>
          <w:lang w:eastAsia="fr-FR"/>
        </w:rPr>
        <w:t xml:space="preserve"> sur le personnel impliqué dans la gestion des boutiques TEMWINE.</w:t>
      </w:r>
    </w:p>
    <w:p w:rsidR="00C928BF" w:rsidRPr="00C928BF" w:rsidRDefault="00C928BF" w:rsidP="000C401B">
      <w:pPr>
        <w:spacing w:after="120"/>
        <w:jc w:val="both"/>
        <w:rPr>
          <w:rFonts w:ascii="Tw Cen MT" w:eastAsia="Times New Roman" w:hAnsi="Tw Cen MT" w:cs="Times New Roman"/>
          <w:lang w:eastAsia="fr-FR"/>
        </w:rPr>
      </w:pPr>
      <w:r w:rsidRPr="00C928BF">
        <w:rPr>
          <w:rFonts w:ascii="Tw Cen MT" w:eastAsia="Times New Roman" w:hAnsi="Tw Cen MT" w:cs="Times New Roman"/>
          <w:b/>
          <w:bCs/>
          <w:lang w:eastAsia="fr-FR"/>
        </w:rPr>
        <w:t>C. Objectifs spécifiques :</w:t>
      </w:r>
    </w:p>
    <w:p w:rsidR="00C928BF" w:rsidRPr="00C928BF" w:rsidRDefault="00C928BF" w:rsidP="000C401B">
      <w:pPr>
        <w:numPr>
          <w:ilvl w:val="0"/>
          <w:numId w:val="13"/>
        </w:numPr>
        <w:spacing w:after="0"/>
        <w:jc w:val="both"/>
        <w:rPr>
          <w:rFonts w:ascii="Tw Cen MT" w:eastAsia="Times New Roman" w:hAnsi="Tw Cen MT" w:cs="Times New Roman"/>
          <w:lang w:eastAsia="fr-FR"/>
        </w:rPr>
      </w:pPr>
      <w:r w:rsidRPr="00C928BF">
        <w:rPr>
          <w:rFonts w:ascii="Tw Cen MT" w:eastAsia="Times New Roman" w:hAnsi="Tw Cen MT" w:cs="Times New Roman"/>
          <w:lang w:eastAsia="fr-FR"/>
        </w:rPr>
        <w:t xml:space="preserve">Réduire les charges fixes </w:t>
      </w:r>
      <w:r w:rsidR="003C1F1A">
        <w:rPr>
          <w:rFonts w:ascii="Tw Cen MT" w:eastAsia="Times New Roman" w:hAnsi="Tw Cen MT" w:cs="Times New Roman"/>
          <w:lang w:eastAsia="fr-FR"/>
        </w:rPr>
        <w:t>relatives</w:t>
      </w:r>
      <w:r w:rsidR="008D021F">
        <w:rPr>
          <w:rFonts w:ascii="Tw Cen MT" w:eastAsia="Times New Roman" w:hAnsi="Tw Cen MT" w:cs="Times New Roman"/>
          <w:lang w:eastAsia="fr-FR"/>
        </w:rPr>
        <w:t xml:space="preserve"> </w:t>
      </w:r>
      <w:r w:rsidR="003C1F1A">
        <w:rPr>
          <w:rFonts w:ascii="Tw Cen MT" w:eastAsia="Times New Roman" w:hAnsi="Tw Cen MT" w:cs="Times New Roman"/>
          <w:lang w:eastAsia="fr-FR"/>
        </w:rPr>
        <w:t>a</w:t>
      </w:r>
      <w:r w:rsidRPr="00C928BF">
        <w:rPr>
          <w:rFonts w:ascii="Tw Cen MT" w:eastAsia="Times New Roman" w:hAnsi="Tw Cen MT" w:cs="Times New Roman"/>
          <w:lang w:eastAsia="fr-FR"/>
        </w:rPr>
        <w:t>u programme ;</w:t>
      </w:r>
    </w:p>
    <w:p w:rsidR="008D021F" w:rsidRPr="008D021F" w:rsidRDefault="00D26DD7" w:rsidP="00D26DD7">
      <w:pPr>
        <w:numPr>
          <w:ilvl w:val="0"/>
          <w:numId w:val="13"/>
        </w:numPr>
        <w:spacing w:after="120"/>
        <w:jc w:val="both"/>
        <w:rPr>
          <w:rFonts w:ascii="Tw Cen MT" w:eastAsia="Times New Roman" w:hAnsi="Tw Cen MT" w:cs="Times New Roman"/>
          <w:lang w:eastAsia="fr-FR"/>
        </w:rPr>
      </w:pPr>
      <w:r>
        <w:rPr>
          <w:rFonts w:ascii="Tw Cen MT" w:eastAsia="Times New Roman" w:hAnsi="Tw Cen MT" w:cs="Times New Roman"/>
          <w:lang w:eastAsia="fr-FR"/>
        </w:rPr>
        <w:t>Optimiser l</w:t>
      </w:r>
      <w:r w:rsidR="00C928BF" w:rsidRPr="00C928BF">
        <w:rPr>
          <w:rFonts w:ascii="Tw Cen MT" w:eastAsia="Times New Roman" w:hAnsi="Tw Cen MT" w:cs="Times New Roman"/>
          <w:lang w:eastAsia="fr-FR"/>
        </w:rPr>
        <w:t>e</w:t>
      </w:r>
      <w:r w:rsidR="008D021F">
        <w:rPr>
          <w:rFonts w:ascii="Tw Cen MT" w:eastAsia="Times New Roman" w:hAnsi="Tw Cen MT" w:cs="Times New Roman"/>
          <w:lang w:eastAsia="fr-FR"/>
        </w:rPr>
        <w:t>s</w:t>
      </w:r>
      <w:r w:rsidR="00C928BF" w:rsidRPr="00C928BF">
        <w:rPr>
          <w:rFonts w:ascii="Tw Cen MT" w:eastAsia="Times New Roman" w:hAnsi="Tw Cen MT" w:cs="Times New Roman"/>
          <w:lang w:eastAsia="fr-FR"/>
        </w:rPr>
        <w:t xml:space="preserve"> ressources humaines </w:t>
      </w:r>
      <w:r>
        <w:rPr>
          <w:rFonts w:ascii="Tw Cen MT" w:eastAsia="Times New Roman" w:hAnsi="Tw Cen MT" w:cs="Times New Roman"/>
          <w:lang w:eastAsia="fr-FR"/>
        </w:rPr>
        <w:t xml:space="preserve">pour </w:t>
      </w:r>
      <w:r w:rsidR="00C928BF" w:rsidRPr="00C928BF">
        <w:rPr>
          <w:rFonts w:ascii="Tw Cen MT" w:eastAsia="Times New Roman" w:hAnsi="Tw Cen MT" w:cs="Times New Roman"/>
          <w:lang w:eastAsia="fr-FR"/>
        </w:rPr>
        <w:t>relev</w:t>
      </w:r>
      <w:r w:rsidR="008D021F">
        <w:rPr>
          <w:rFonts w:ascii="Tw Cen MT" w:eastAsia="Times New Roman" w:hAnsi="Tw Cen MT" w:cs="Times New Roman"/>
          <w:lang w:eastAsia="fr-FR"/>
        </w:rPr>
        <w:t>er les défis actuels</w:t>
      </w:r>
      <w:r w:rsidR="00C928BF" w:rsidRPr="00C928BF">
        <w:rPr>
          <w:rFonts w:ascii="Tw Cen MT" w:eastAsia="Times New Roman" w:hAnsi="Tw Cen MT" w:cs="Times New Roman"/>
          <w:lang w:eastAsia="fr-FR"/>
        </w:rPr>
        <w:t>.</w:t>
      </w:r>
    </w:p>
    <w:p w:rsidR="00C928BF" w:rsidRPr="00C928BF" w:rsidRDefault="00C928BF" w:rsidP="002F5F41">
      <w:pPr>
        <w:spacing w:after="120"/>
        <w:jc w:val="both"/>
        <w:rPr>
          <w:rFonts w:ascii="Tw Cen MT" w:eastAsia="Times New Roman" w:hAnsi="Tw Cen MT" w:cs="Times New Roman"/>
          <w:lang w:eastAsia="fr-FR"/>
        </w:rPr>
      </w:pPr>
      <w:r w:rsidRPr="00C928BF">
        <w:rPr>
          <w:rFonts w:ascii="Tw Cen MT" w:eastAsia="Times New Roman" w:hAnsi="Tw Cen MT" w:cs="Times New Roman"/>
          <w:b/>
          <w:bCs/>
          <w:lang w:eastAsia="fr-FR"/>
        </w:rPr>
        <w:t>D. Mesures à entreprendre :</w:t>
      </w:r>
    </w:p>
    <w:p w:rsidR="00D26DD7" w:rsidRDefault="00D26DD7" w:rsidP="004B3582">
      <w:pPr>
        <w:numPr>
          <w:ilvl w:val="0"/>
          <w:numId w:val="12"/>
        </w:numPr>
        <w:spacing w:after="0"/>
        <w:jc w:val="both"/>
        <w:rPr>
          <w:rFonts w:ascii="Tw Cen MT" w:eastAsia="Times New Roman" w:hAnsi="Tw Cen MT" w:cs="Times New Roman"/>
          <w:lang w:eastAsia="fr-FR"/>
        </w:rPr>
      </w:pPr>
      <w:r>
        <w:rPr>
          <w:rFonts w:ascii="Tw Cen MT" w:eastAsia="Times New Roman" w:hAnsi="Tw Cen MT" w:cs="Times New Roman"/>
          <w:lang w:eastAsia="fr-FR"/>
        </w:rPr>
        <w:t>Actualiser l’étude déjà réalisée sur le personnel impliqué dans la gestion des boutiques TEMWINE ;</w:t>
      </w:r>
    </w:p>
    <w:p w:rsidR="00C928BF" w:rsidRDefault="00C928BF" w:rsidP="004B3582">
      <w:pPr>
        <w:numPr>
          <w:ilvl w:val="0"/>
          <w:numId w:val="12"/>
        </w:numPr>
        <w:spacing w:after="0"/>
        <w:jc w:val="both"/>
        <w:rPr>
          <w:rFonts w:ascii="Tw Cen MT" w:eastAsia="Times New Roman" w:hAnsi="Tw Cen MT" w:cs="Times New Roman"/>
          <w:lang w:eastAsia="fr-FR"/>
        </w:rPr>
      </w:pPr>
      <w:r w:rsidRPr="00C928BF">
        <w:rPr>
          <w:rFonts w:ascii="Tw Cen MT" w:eastAsia="Times New Roman" w:hAnsi="Tw Cen MT" w:cs="Times New Roman"/>
          <w:lang w:eastAsia="fr-FR"/>
        </w:rPr>
        <w:t>Proposer des mesures juridiques et pratiques pour un</w:t>
      </w:r>
      <w:r w:rsidR="004B3582">
        <w:rPr>
          <w:rFonts w:ascii="Tw Cen MT" w:eastAsia="Times New Roman" w:hAnsi="Tw Cen MT" w:cs="Times New Roman"/>
          <w:lang w:eastAsia="fr-FR"/>
        </w:rPr>
        <w:t>e optimisation des ressources humaines ;</w:t>
      </w:r>
    </w:p>
    <w:p w:rsidR="008D021F" w:rsidRPr="008D021F" w:rsidRDefault="008D021F" w:rsidP="008D021F">
      <w:pPr>
        <w:numPr>
          <w:ilvl w:val="0"/>
          <w:numId w:val="12"/>
        </w:numPr>
        <w:spacing w:after="120"/>
        <w:jc w:val="both"/>
        <w:rPr>
          <w:rFonts w:ascii="Tw Cen MT" w:eastAsia="Times New Roman" w:hAnsi="Tw Cen MT" w:cs="Times New Roman"/>
          <w:lang w:eastAsia="fr-FR"/>
        </w:rPr>
      </w:pPr>
      <w:r>
        <w:rPr>
          <w:rFonts w:ascii="Tw Cen MT" w:eastAsia="Times New Roman" w:hAnsi="Tw Cen MT" w:cs="Times New Roman"/>
          <w:lang w:eastAsia="fr-FR"/>
        </w:rPr>
        <w:t xml:space="preserve">Elaborer </w:t>
      </w:r>
      <w:r w:rsidR="001E532B">
        <w:rPr>
          <w:rFonts w:ascii="Tw Cen MT" w:eastAsia="Times New Roman" w:hAnsi="Tw Cen MT" w:cs="Times New Roman"/>
          <w:lang w:eastAsia="fr-FR"/>
        </w:rPr>
        <w:t xml:space="preserve">un plan détaillé </w:t>
      </w:r>
      <w:r>
        <w:rPr>
          <w:rFonts w:ascii="Tw Cen MT" w:eastAsia="Times New Roman" w:hAnsi="Tw Cen MT" w:cs="Times New Roman"/>
          <w:lang w:eastAsia="fr-FR"/>
        </w:rPr>
        <w:t xml:space="preserve">de </w:t>
      </w:r>
      <w:r w:rsidR="001E532B">
        <w:rPr>
          <w:rFonts w:ascii="Tw Cen MT" w:eastAsia="Times New Roman" w:hAnsi="Tw Cen MT" w:cs="Times New Roman"/>
          <w:lang w:eastAsia="fr-FR"/>
        </w:rPr>
        <w:t xml:space="preserve">gestion </w:t>
      </w:r>
      <w:r>
        <w:rPr>
          <w:rFonts w:ascii="Tw Cen MT" w:eastAsia="Times New Roman" w:hAnsi="Tw Cen MT" w:cs="Times New Roman"/>
          <w:lang w:eastAsia="fr-FR"/>
        </w:rPr>
        <w:t>des ressources humaines pour le programme.</w:t>
      </w:r>
    </w:p>
    <w:p w:rsidR="00C928BF" w:rsidRPr="00C928BF" w:rsidRDefault="00D26DD7" w:rsidP="002F5F41">
      <w:pPr>
        <w:spacing w:after="120"/>
        <w:jc w:val="both"/>
        <w:rPr>
          <w:rFonts w:ascii="Tw Cen MT" w:eastAsia="Times New Roman" w:hAnsi="Tw Cen MT" w:cs="Times New Roman"/>
          <w:lang w:eastAsia="fr-FR"/>
        </w:rPr>
      </w:pPr>
      <w:r>
        <w:rPr>
          <w:rFonts w:ascii="Tw Cen MT" w:eastAsia="Times New Roman" w:hAnsi="Tw Cen MT" w:cs="Times New Roman"/>
          <w:b/>
          <w:bCs/>
          <w:lang w:eastAsia="fr-FR"/>
        </w:rPr>
        <w:t>E. Missions confiées au consultant</w:t>
      </w:r>
      <w:r w:rsidR="00C928BF" w:rsidRPr="00C928BF">
        <w:rPr>
          <w:rFonts w:ascii="Tw Cen MT" w:eastAsia="Times New Roman" w:hAnsi="Tw Cen MT" w:cs="Times New Roman"/>
          <w:b/>
          <w:bCs/>
          <w:lang w:eastAsia="fr-FR"/>
        </w:rPr>
        <w:t xml:space="preserve"> :</w:t>
      </w:r>
    </w:p>
    <w:p w:rsidR="00C928BF" w:rsidRPr="00C928BF" w:rsidRDefault="00C928BF" w:rsidP="000C401B">
      <w:pPr>
        <w:numPr>
          <w:ilvl w:val="0"/>
          <w:numId w:val="11"/>
        </w:numPr>
        <w:spacing w:after="0"/>
        <w:jc w:val="both"/>
        <w:rPr>
          <w:rFonts w:ascii="Tw Cen MT" w:eastAsia="Times New Roman" w:hAnsi="Tw Cen MT" w:cs="Times New Roman"/>
          <w:lang w:eastAsia="fr-FR"/>
        </w:rPr>
      </w:pPr>
      <w:r w:rsidRPr="00C928BF">
        <w:rPr>
          <w:rFonts w:ascii="Tw Cen MT" w:eastAsia="Times New Roman" w:hAnsi="Tw Cen MT" w:cs="Times New Roman"/>
          <w:lang w:eastAsia="fr-FR"/>
        </w:rPr>
        <w:t>Accompagner le programme TEMWINE dans la mise en œuvre de l’assainissement de la situation du personnel ;</w:t>
      </w:r>
    </w:p>
    <w:p w:rsidR="00C928BF" w:rsidRPr="00C928BF" w:rsidRDefault="00C928BF" w:rsidP="000C401B">
      <w:pPr>
        <w:numPr>
          <w:ilvl w:val="0"/>
          <w:numId w:val="11"/>
        </w:numPr>
        <w:spacing w:after="0"/>
        <w:jc w:val="both"/>
        <w:rPr>
          <w:rFonts w:ascii="Tw Cen MT" w:eastAsia="Times New Roman" w:hAnsi="Tw Cen MT" w:cs="Times New Roman"/>
          <w:lang w:eastAsia="fr-FR"/>
        </w:rPr>
      </w:pPr>
      <w:r w:rsidRPr="00C928BF">
        <w:rPr>
          <w:rFonts w:ascii="Tw Cen MT" w:eastAsia="Times New Roman" w:hAnsi="Tw Cen MT" w:cs="Times New Roman"/>
          <w:lang w:eastAsia="fr-FR"/>
        </w:rPr>
        <w:t>Rédiger les projets de correspondances nécessaires ;</w:t>
      </w:r>
    </w:p>
    <w:p w:rsidR="008D021F" w:rsidRPr="008D021F" w:rsidRDefault="00C928BF" w:rsidP="008D021F">
      <w:pPr>
        <w:numPr>
          <w:ilvl w:val="0"/>
          <w:numId w:val="11"/>
        </w:numPr>
        <w:spacing w:after="120"/>
        <w:jc w:val="both"/>
        <w:rPr>
          <w:rFonts w:ascii="Tw Cen MT" w:eastAsia="Times New Roman" w:hAnsi="Tw Cen MT" w:cs="Times New Roman"/>
          <w:lang w:eastAsia="fr-FR"/>
        </w:rPr>
      </w:pPr>
      <w:r w:rsidRPr="00C928BF">
        <w:rPr>
          <w:rFonts w:ascii="Tw Cen MT" w:eastAsia="Times New Roman" w:hAnsi="Tw Cen MT" w:cs="Times New Roman"/>
          <w:lang w:eastAsia="fr-FR"/>
        </w:rPr>
        <w:t>Assurer la liaison avec l’inspection du travail compétente, si nécessaire.</w:t>
      </w:r>
    </w:p>
    <w:p w:rsidR="008D021F" w:rsidRPr="00382543" w:rsidRDefault="00C928BF" w:rsidP="00382543">
      <w:pPr>
        <w:spacing w:after="120"/>
        <w:jc w:val="both"/>
        <w:rPr>
          <w:rFonts w:ascii="Tw Cen MT" w:eastAsia="Times New Roman" w:hAnsi="Tw Cen MT" w:cs="Times New Roman"/>
          <w:b/>
          <w:bCs/>
          <w:lang w:eastAsia="fr-FR"/>
        </w:rPr>
      </w:pPr>
      <w:r w:rsidRPr="00C928BF">
        <w:rPr>
          <w:rFonts w:ascii="Tw Cen MT" w:eastAsia="Times New Roman" w:hAnsi="Tw Cen MT" w:cs="Times New Roman"/>
          <w:b/>
          <w:bCs/>
          <w:lang w:eastAsia="fr-FR"/>
        </w:rPr>
        <w:t>F. Profils recherchés pour le consultant :</w:t>
      </w:r>
    </w:p>
    <w:p w:rsidR="000C401B" w:rsidRPr="000C401B" w:rsidRDefault="008E672A" w:rsidP="008D021F">
      <w:pPr>
        <w:spacing w:after="120"/>
        <w:jc w:val="both"/>
        <w:rPr>
          <w:rFonts w:ascii="Tw Cen MT" w:eastAsia="Times New Roman" w:hAnsi="Tw Cen MT" w:cs="Times New Roman"/>
          <w:lang w:eastAsia="fr-FR"/>
        </w:rPr>
      </w:pPr>
      <w:r>
        <w:rPr>
          <w:rFonts w:ascii="Tw Cen MT" w:eastAsia="Times New Roman" w:hAnsi="Tw Cen MT" w:cs="Times New Roman"/>
          <w:lang w:eastAsia="fr-FR"/>
        </w:rPr>
        <w:t>Le consultant chargé</w:t>
      </w:r>
      <w:r w:rsidR="00D26DD7">
        <w:rPr>
          <w:rFonts w:ascii="Tw Cen MT" w:eastAsia="Times New Roman" w:hAnsi="Tw Cen MT" w:cs="Times New Roman"/>
          <w:lang w:eastAsia="fr-FR"/>
        </w:rPr>
        <w:t xml:space="preserve"> d’accompagner le programme dans sa phase de restructuration, </w:t>
      </w:r>
      <w:r w:rsidR="003C1F1A">
        <w:rPr>
          <w:rFonts w:ascii="Tw Cen MT" w:eastAsia="Times New Roman" w:hAnsi="Tw Cen MT" w:cs="Times New Roman"/>
          <w:lang w:eastAsia="fr-FR"/>
        </w:rPr>
        <w:t xml:space="preserve">de </w:t>
      </w:r>
      <w:r w:rsidR="000C401B" w:rsidRPr="000C401B">
        <w:rPr>
          <w:rFonts w:ascii="Tw Cen MT" w:eastAsia="Times New Roman" w:hAnsi="Tw Cen MT" w:cs="Times New Roman"/>
          <w:lang w:eastAsia="fr-FR"/>
        </w:rPr>
        <w:t xml:space="preserve">réaliser l’audit des ressources humaines et de mettre en œuvre le plan </w:t>
      </w:r>
      <w:r w:rsidR="008D021F">
        <w:rPr>
          <w:rFonts w:ascii="Tw Cen MT" w:eastAsia="Times New Roman" w:hAnsi="Tw Cen MT" w:cs="Times New Roman"/>
          <w:lang w:eastAsia="fr-FR"/>
        </w:rPr>
        <w:t>de restructuration du personnel impliq</w:t>
      </w:r>
      <w:r w:rsidR="003C1F1A">
        <w:rPr>
          <w:rFonts w:ascii="Tw Cen MT" w:eastAsia="Times New Roman" w:hAnsi="Tw Cen MT" w:cs="Times New Roman"/>
          <w:lang w:eastAsia="fr-FR"/>
        </w:rPr>
        <w:t xml:space="preserve">ué dans la gestion du programme, </w:t>
      </w:r>
      <w:r w:rsidR="00D26DD7">
        <w:rPr>
          <w:rFonts w:ascii="Tw Cen MT" w:eastAsia="Times New Roman" w:hAnsi="Tw Cen MT" w:cs="Times New Roman"/>
          <w:lang w:eastAsia="fr-FR"/>
        </w:rPr>
        <w:t>doi</w:t>
      </w:r>
      <w:r w:rsidR="000C401B" w:rsidRPr="000C401B">
        <w:rPr>
          <w:rFonts w:ascii="Tw Cen MT" w:eastAsia="Times New Roman" w:hAnsi="Tw Cen MT" w:cs="Times New Roman"/>
          <w:lang w:eastAsia="fr-FR"/>
        </w:rPr>
        <w:t>t posséder les qualifications et compétences suivantes :</w:t>
      </w:r>
    </w:p>
    <w:p w:rsidR="000C401B" w:rsidRPr="000C401B" w:rsidRDefault="000C401B" w:rsidP="000C401B">
      <w:pPr>
        <w:numPr>
          <w:ilvl w:val="1"/>
          <w:numId w:val="10"/>
        </w:numPr>
        <w:spacing w:after="0"/>
        <w:jc w:val="both"/>
        <w:rPr>
          <w:rFonts w:ascii="Tw Cen MT" w:eastAsia="Times New Roman" w:hAnsi="Tw Cen MT" w:cs="Times New Roman"/>
          <w:lang w:eastAsia="fr-FR"/>
        </w:rPr>
      </w:pPr>
      <w:r w:rsidRPr="000C401B">
        <w:rPr>
          <w:rFonts w:ascii="Tw Cen MT" w:eastAsia="Times New Roman" w:hAnsi="Tw Cen MT" w:cs="Times New Roman"/>
          <w:lang w:eastAsia="fr-FR"/>
        </w:rPr>
        <w:t>Être titulaire d’un diplôme d’enseignement supérieur</w:t>
      </w:r>
      <w:r w:rsidR="00D26DD7">
        <w:rPr>
          <w:rFonts w:ascii="Tw Cen MT" w:eastAsia="Times New Roman" w:hAnsi="Tw Cen MT" w:cs="Times New Roman"/>
          <w:lang w:eastAsia="fr-FR"/>
        </w:rPr>
        <w:t xml:space="preserve"> (Bac + 5</w:t>
      </w:r>
      <w:r w:rsidR="001E532B">
        <w:rPr>
          <w:rFonts w:ascii="Tw Cen MT" w:eastAsia="Times New Roman" w:hAnsi="Tw Cen MT" w:cs="Times New Roman"/>
          <w:lang w:eastAsia="fr-FR"/>
        </w:rPr>
        <w:t>)</w:t>
      </w:r>
      <w:r w:rsidRPr="000C401B">
        <w:rPr>
          <w:rFonts w:ascii="Tw Cen MT" w:eastAsia="Times New Roman" w:hAnsi="Tw Cen MT" w:cs="Times New Roman"/>
          <w:lang w:eastAsia="fr-FR"/>
        </w:rPr>
        <w:t>, de préférence en ressources humaines, en droit du travail, en gestion des organisations ou dans un domaine connexe.</w:t>
      </w:r>
    </w:p>
    <w:p w:rsidR="000C401B" w:rsidRPr="000C401B" w:rsidRDefault="000C401B" w:rsidP="000C401B">
      <w:pPr>
        <w:numPr>
          <w:ilvl w:val="1"/>
          <w:numId w:val="10"/>
        </w:numPr>
        <w:spacing w:after="0"/>
        <w:jc w:val="both"/>
        <w:rPr>
          <w:rFonts w:ascii="Tw Cen MT" w:eastAsia="Times New Roman" w:hAnsi="Tw Cen MT" w:cs="Times New Roman"/>
          <w:lang w:eastAsia="fr-FR"/>
        </w:rPr>
      </w:pPr>
      <w:r w:rsidRPr="000C401B">
        <w:rPr>
          <w:rFonts w:ascii="Tw Cen MT" w:eastAsia="Times New Roman" w:hAnsi="Tw Cen MT" w:cs="Times New Roman"/>
          <w:lang w:eastAsia="fr-FR"/>
        </w:rPr>
        <w:t xml:space="preserve">Avoir une expérience significative dans le domaine des relations individuelles et collectives du travail, avec un minimum de </w:t>
      </w:r>
      <w:r w:rsidRPr="002F5F41">
        <w:rPr>
          <w:rFonts w:ascii="Tw Cen MT" w:eastAsia="Times New Roman" w:hAnsi="Tw Cen MT" w:cs="Times New Roman"/>
          <w:lang w:eastAsia="fr-FR"/>
        </w:rPr>
        <w:t xml:space="preserve">10 </w:t>
      </w:r>
      <w:r w:rsidR="001E532B">
        <w:rPr>
          <w:rFonts w:ascii="Tw Cen MT" w:eastAsia="Times New Roman" w:hAnsi="Tw Cen MT" w:cs="Times New Roman"/>
          <w:lang w:eastAsia="fr-FR"/>
        </w:rPr>
        <w:t>années d’expériences spécifiques</w:t>
      </w:r>
      <w:r w:rsidRPr="000C401B">
        <w:rPr>
          <w:rFonts w:ascii="Tw Cen MT" w:eastAsia="Times New Roman" w:hAnsi="Tw Cen MT" w:cs="Times New Roman"/>
          <w:lang w:eastAsia="fr-FR"/>
        </w:rPr>
        <w:t>.</w:t>
      </w:r>
    </w:p>
    <w:p w:rsidR="000C401B" w:rsidRPr="000C401B" w:rsidRDefault="000C401B" w:rsidP="000C401B">
      <w:pPr>
        <w:numPr>
          <w:ilvl w:val="1"/>
          <w:numId w:val="10"/>
        </w:numPr>
        <w:spacing w:after="0"/>
        <w:jc w:val="both"/>
        <w:rPr>
          <w:rFonts w:ascii="Tw Cen MT" w:eastAsia="Times New Roman" w:hAnsi="Tw Cen MT" w:cs="Times New Roman"/>
          <w:lang w:eastAsia="fr-FR"/>
        </w:rPr>
      </w:pPr>
      <w:r w:rsidRPr="000C401B">
        <w:rPr>
          <w:rFonts w:ascii="Tw Cen MT" w:eastAsia="Times New Roman" w:hAnsi="Tw Cen MT" w:cs="Times New Roman"/>
          <w:lang w:eastAsia="fr-FR"/>
        </w:rPr>
        <w:t>Une expérience au sein d'une inspection du travail ou dans une administration du travail est fortement souhaitée, ce qui permettra au consultant de comprendre les exigences légales et réglementaires en matière de gestion des ressources humaines.</w:t>
      </w:r>
    </w:p>
    <w:p w:rsidR="000C401B" w:rsidRPr="000C401B" w:rsidRDefault="000C401B" w:rsidP="000C401B">
      <w:pPr>
        <w:numPr>
          <w:ilvl w:val="1"/>
          <w:numId w:val="10"/>
        </w:numPr>
        <w:spacing w:after="0"/>
        <w:jc w:val="both"/>
        <w:rPr>
          <w:rFonts w:ascii="Tw Cen MT" w:eastAsia="Times New Roman" w:hAnsi="Tw Cen MT" w:cs="Times New Roman"/>
          <w:lang w:eastAsia="fr-FR"/>
        </w:rPr>
      </w:pPr>
      <w:r w:rsidRPr="000C401B">
        <w:rPr>
          <w:rFonts w:ascii="Tw Cen MT" w:eastAsia="Times New Roman" w:hAnsi="Tw Cen MT" w:cs="Times New Roman"/>
          <w:lang w:eastAsia="fr-FR"/>
        </w:rPr>
        <w:t>Maîtrise des outils et des méthodologies d’audit des ressources humaines, y compris l’analyse des effectifs, l’évaluation des performances et la gestion des talents.</w:t>
      </w:r>
    </w:p>
    <w:p w:rsidR="000C401B" w:rsidRPr="000C401B" w:rsidRDefault="003C1F1A" w:rsidP="003C1F1A">
      <w:pPr>
        <w:numPr>
          <w:ilvl w:val="1"/>
          <w:numId w:val="10"/>
        </w:numPr>
        <w:spacing w:after="0"/>
        <w:jc w:val="both"/>
        <w:rPr>
          <w:rFonts w:ascii="Tw Cen MT" w:eastAsia="Times New Roman" w:hAnsi="Tw Cen MT" w:cs="Times New Roman"/>
          <w:lang w:eastAsia="fr-FR"/>
        </w:rPr>
      </w:pPr>
      <w:r>
        <w:rPr>
          <w:rFonts w:ascii="Tw Cen MT" w:eastAsia="Times New Roman" w:hAnsi="Tw Cen MT" w:cs="Times New Roman"/>
          <w:lang w:eastAsia="fr-FR"/>
        </w:rPr>
        <w:t>Avoir une c</w:t>
      </w:r>
      <w:r w:rsidR="000C401B" w:rsidRPr="000C401B">
        <w:rPr>
          <w:rFonts w:ascii="Tw Cen MT" w:eastAsia="Times New Roman" w:hAnsi="Tw Cen MT" w:cs="Times New Roman"/>
          <w:lang w:eastAsia="fr-FR"/>
        </w:rPr>
        <w:t>onnaissance approfondie du droit</w:t>
      </w:r>
      <w:r w:rsidR="001E532B">
        <w:rPr>
          <w:rFonts w:ascii="Tw Cen MT" w:eastAsia="Times New Roman" w:hAnsi="Tw Cen MT" w:cs="Times New Roman"/>
          <w:lang w:eastAsia="fr-FR"/>
        </w:rPr>
        <w:t xml:space="preserve"> mauritanien</w:t>
      </w:r>
      <w:r w:rsidR="000C401B" w:rsidRPr="000C401B">
        <w:rPr>
          <w:rFonts w:ascii="Tw Cen MT" w:eastAsia="Times New Roman" w:hAnsi="Tw Cen MT" w:cs="Times New Roman"/>
          <w:lang w:eastAsia="fr-FR"/>
        </w:rPr>
        <w:t xml:space="preserve"> du travail et des normes en </w:t>
      </w:r>
      <w:r w:rsidR="001E532B">
        <w:rPr>
          <w:rFonts w:ascii="Tw Cen MT" w:eastAsia="Times New Roman" w:hAnsi="Tw Cen MT" w:cs="Times New Roman"/>
          <w:lang w:eastAsia="fr-FR"/>
        </w:rPr>
        <w:t>matière de ressources humaines ;</w:t>
      </w:r>
    </w:p>
    <w:p w:rsidR="001E532B" w:rsidRPr="008D021F" w:rsidRDefault="003C1F1A" w:rsidP="003C1F1A">
      <w:pPr>
        <w:numPr>
          <w:ilvl w:val="1"/>
          <w:numId w:val="10"/>
        </w:numPr>
        <w:spacing w:after="240"/>
        <w:jc w:val="both"/>
        <w:rPr>
          <w:rFonts w:ascii="Tw Cen MT" w:eastAsia="Times New Roman" w:hAnsi="Tw Cen MT" w:cs="Times New Roman"/>
          <w:lang w:eastAsia="fr-FR"/>
        </w:rPr>
      </w:pPr>
      <w:r>
        <w:rPr>
          <w:rFonts w:ascii="Tw Cen MT" w:eastAsia="Times New Roman" w:hAnsi="Tw Cen MT" w:cs="Times New Roman"/>
          <w:lang w:eastAsia="fr-FR"/>
        </w:rPr>
        <w:t>Disposer d’e</w:t>
      </w:r>
      <w:r w:rsidR="000C401B" w:rsidRPr="000C401B">
        <w:rPr>
          <w:rFonts w:ascii="Tw Cen MT" w:eastAsia="Times New Roman" w:hAnsi="Tw Cen MT" w:cs="Times New Roman"/>
          <w:lang w:eastAsia="fr-FR"/>
        </w:rPr>
        <w:t>xcellentes com</w:t>
      </w:r>
      <w:r w:rsidR="008E672A">
        <w:rPr>
          <w:rFonts w:ascii="Tw Cen MT" w:eastAsia="Times New Roman" w:hAnsi="Tw Cen MT" w:cs="Times New Roman"/>
          <w:lang w:eastAsia="fr-FR"/>
        </w:rPr>
        <w:t xml:space="preserve">pétences en communication </w:t>
      </w:r>
      <w:r w:rsidR="000C401B" w:rsidRPr="000C401B">
        <w:rPr>
          <w:rFonts w:ascii="Tw Cen MT" w:eastAsia="Times New Roman" w:hAnsi="Tw Cen MT" w:cs="Times New Roman"/>
          <w:lang w:eastAsia="fr-FR"/>
        </w:rPr>
        <w:t>pour faciliter les interactions avec les employés, les parties prenantes et les autorités compétentes.</w:t>
      </w:r>
    </w:p>
    <w:p w:rsidR="00C928BF" w:rsidRPr="00C928BF" w:rsidRDefault="00C928BF" w:rsidP="000C401B">
      <w:pPr>
        <w:spacing w:after="120"/>
        <w:jc w:val="both"/>
        <w:rPr>
          <w:rFonts w:ascii="Tw Cen MT" w:eastAsia="Times New Roman" w:hAnsi="Tw Cen MT" w:cs="Times New Roman"/>
          <w:lang w:eastAsia="fr-FR"/>
        </w:rPr>
      </w:pPr>
      <w:r w:rsidRPr="00C928BF">
        <w:rPr>
          <w:rFonts w:ascii="Tw Cen MT" w:eastAsia="Times New Roman" w:hAnsi="Tw Cen MT" w:cs="Times New Roman"/>
          <w:b/>
          <w:bCs/>
          <w:lang w:eastAsia="fr-FR"/>
        </w:rPr>
        <w:t>G. Durée de la consultation :</w:t>
      </w:r>
    </w:p>
    <w:p w:rsidR="00C928BF" w:rsidRPr="00C928BF" w:rsidRDefault="008D021F" w:rsidP="008D021F">
      <w:pPr>
        <w:spacing w:after="0"/>
        <w:jc w:val="both"/>
        <w:rPr>
          <w:rFonts w:ascii="Tw Cen MT" w:eastAsia="Times New Roman" w:hAnsi="Tw Cen MT" w:cs="Times New Roman"/>
          <w:lang w:eastAsia="fr-FR"/>
        </w:rPr>
      </w:pPr>
      <w:r>
        <w:rPr>
          <w:rFonts w:ascii="Tw Cen MT" w:eastAsia="Times New Roman" w:hAnsi="Tw Cen MT" w:cs="Times New Roman"/>
          <w:lang w:eastAsia="fr-FR"/>
        </w:rPr>
        <w:t xml:space="preserve">La mission sera réalisée </w:t>
      </w:r>
      <w:r w:rsidR="00D26DD7">
        <w:rPr>
          <w:rFonts w:ascii="Tw Cen MT" w:eastAsia="Times New Roman" w:hAnsi="Tw Cen MT" w:cs="Times New Roman"/>
          <w:lang w:eastAsia="fr-FR"/>
        </w:rPr>
        <w:t>sur une période de soixante</w:t>
      </w:r>
      <w:r>
        <w:rPr>
          <w:rFonts w:ascii="Tw Cen MT" w:eastAsia="Times New Roman" w:hAnsi="Tw Cen MT" w:cs="Times New Roman"/>
          <w:lang w:eastAsia="fr-FR"/>
        </w:rPr>
        <w:t xml:space="preserve"> jours </w:t>
      </w:r>
      <w:r w:rsidR="00D26DD7">
        <w:rPr>
          <w:rFonts w:ascii="Tw Cen MT" w:eastAsia="Times New Roman" w:hAnsi="Tw Cen MT" w:cs="Times New Roman"/>
          <w:lang w:eastAsia="fr-FR"/>
        </w:rPr>
        <w:t>(60</w:t>
      </w:r>
      <w:r w:rsidR="00C928BF" w:rsidRPr="00C928BF">
        <w:rPr>
          <w:rFonts w:ascii="Tw Cen MT" w:eastAsia="Times New Roman" w:hAnsi="Tw Cen MT" w:cs="Times New Roman"/>
          <w:lang w:eastAsia="fr-FR"/>
        </w:rPr>
        <w:t xml:space="preserve">) jours à </w:t>
      </w:r>
      <w:r>
        <w:rPr>
          <w:rFonts w:ascii="Tw Cen MT" w:eastAsia="Times New Roman" w:hAnsi="Tw Cen MT" w:cs="Times New Roman"/>
          <w:lang w:eastAsia="fr-FR"/>
        </w:rPr>
        <w:t xml:space="preserve">compter de </w:t>
      </w:r>
      <w:r w:rsidR="00C928BF" w:rsidRPr="00C928BF">
        <w:rPr>
          <w:rFonts w:ascii="Tw Cen MT" w:eastAsia="Times New Roman" w:hAnsi="Tw Cen MT" w:cs="Times New Roman"/>
          <w:lang w:eastAsia="fr-FR"/>
        </w:rPr>
        <w:t xml:space="preserve">la date de signature du </w:t>
      </w:r>
      <w:r>
        <w:rPr>
          <w:rFonts w:ascii="Tw Cen MT" w:eastAsia="Times New Roman" w:hAnsi="Tw Cen MT" w:cs="Times New Roman"/>
          <w:lang w:eastAsia="fr-FR"/>
        </w:rPr>
        <w:t>contrat</w:t>
      </w:r>
      <w:r w:rsidR="00C928BF" w:rsidRPr="00C928BF">
        <w:rPr>
          <w:rFonts w:ascii="Tw Cen MT" w:eastAsia="Times New Roman" w:hAnsi="Tw Cen MT" w:cs="Times New Roman"/>
          <w:lang w:eastAsia="fr-FR"/>
        </w:rPr>
        <w:t>.</w:t>
      </w:r>
    </w:p>
    <w:p w:rsidR="00C928BF" w:rsidRDefault="00C928BF" w:rsidP="00DF36F4"/>
    <w:sectPr w:rsidR="00C928BF" w:rsidSect="008D021F">
      <w:footerReference w:type="default" r:id="rId10"/>
      <w:pgSz w:w="11910" w:h="16840" w:code="9"/>
      <w:pgMar w:top="851" w:right="853" w:bottom="1135" w:left="993" w:header="1077" w:footer="0" w:gutter="0"/>
      <w:cols w:space="708"/>
      <w:vAlign w:val="cen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DAF" w:rsidRDefault="00151DAF" w:rsidP="008E672A">
      <w:pPr>
        <w:spacing w:after="0" w:line="240" w:lineRule="auto"/>
      </w:pPr>
      <w:r>
        <w:separator/>
      </w:r>
    </w:p>
  </w:endnote>
  <w:endnote w:type="continuationSeparator" w:id="0">
    <w:p w:rsidR="00151DAF" w:rsidRDefault="00151DAF" w:rsidP="008E6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LouguiyaFR">
    <w:altName w:val="Segoe UI Semibol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794181"/>
      <w:docPartObj>
        <w:docPartGallery w:val="Page Numbers (Bottom of Page)"/>
        <w:docPartUnique/>
      </w:docPartObj>
    </w:sdtPr>
    <w:sdtEndPr/>
    <w:sdtContent>
      <w:sdt>
        <w:sdtPr>
          <w:id w:val="-1769616900"/>
          <w:docPartObj>
            <w:docPartGallery w:val="Page Numbers (Top of Page)"/>
            <w:docPartUnique/>
          </w:docPartObj>
        </w:sdtPr>
        <w:sdtEndPr/>
        <w:sdtContent>
          <w:p w:rsidR="008E672A" w:rsidRDefault="008E672A">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D41540">
              <w:rPr>
                <w:b/>
                <w:bCs/>
                <w:noProof/>
                <w:sz w:val="24"/>
                <w:szCs w:val="24"/>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D41540">
              <w:rPr>
                <w:b/>
                <w:bCs/>
                <w:noProof/>
                <w:sz w:val="24"/>
                <w:szCs w:val="24"/>
              </w:rPr>
              <w:t>2</w:t>
            </w:r>
            <w:r>
              <w:rPr>
                <w:b/>
                <w:bCs/>
                <w:sz w:val="24"/>
                <w:szCs w:val="24"/>
              </w:rPr>
              <w:fldChar w:fldCharType="end"/>
            </w:r>
          </w:p>
        </w:sdtContent>
      </w:sdt>
    </w:sdtContent>
  </w:sdt>
  <w:p w:rsidR="008E672A" w:rsidRDefault="008E672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DAF" w:rsidRDefault="00151DAF" w:rsidP="008E672A">
      <w:pPr>
        <w:spacing w:after="0" w:line="240" w:lineRule="auto"/>
      </w:pPr>
      <w:r>
        <w:separator/>
      </w:r>
    </w:p>
  </w:footnote>
  <w:footnote w:type="continuationSeparator" w:id="0">
    <w:p w:rsidR="00151DAF" w:rsidRDefault="00151DAF" w:rsidP="008E67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501A"/>
    <w:multiLevelType w:val="multilevel"/>
    <w:tmpl w:val="9CE468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623C3"/>
    <w:multiLevelType w:val="multilevel"/>
    <w:tmpl w:val="3644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01D93"/>
    <w:multiLevelType w:val="multilevel"/>
    <w:tmpl w:val="6BDA1D44"/>
    <w:lvl w:ilvl="0">
      <w:start w:val="1"/>
      <w:numFmt w:val="decimal"/>
      <w:lvlText w:val="%1."/>
      <w:lvlJc w:val="left"/>
      <w:pPr>
        <w:tabs>
          <w:tab w:val="num" w:pos="720"/>
        </w:tabs>
        <w:ind w:left="720" w:hanging="360"/>
      </w:pPr>
    </w:lvl>
    <w:lvl w:ilvl="1">
      <w:start w:val="1"/>
      <w:numFmt w:val="bullet"/>
      <w:lvlText w:val=""/>
      <w:lvlJc w:val="left"/>
      <w:pPr>
        <w:tabs>
          <w:tab w:val="num" w:pos="786"/>
        </w:tabs>
        <w:ind w:left="786"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356B2"/>
    <w:multiLevelType w:val="multilevel"/>
    <w:tmpl w:val="87DC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35362"/>
    <w:multiLevelType w:val="multilevel"/>
    <w:tmpl w:val="34E6DB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574C4"/>
    <w:multiLevelType w:val="multilevel"/>
    <w:tmpl w:val="A4CA7B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9B5AB3"/>
    <w:multiLevelType w:val="multilevel"/>
    <w:tmpl w:val="99DA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1746C"/>
    <w:multiLevelType w:val="hybridMultilevel"/>
    <w:tmpl w:val="2714850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1F11ACF"/>
    <w:multiLevelType w:val="multilevel"/>
    <w:tmpl w:val="697E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780DB6"/>
    <w:multiLevelType w:val="multilevel"/>
    <w:tmpl w:val="6F34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7331C7"/>
    <w:multiLevelType w:val="multilevel"/>
    <w:tmpl w:val="9D9C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8C386A"/>
    <w:multiLevelType w:val="multilevel"/>
    <w:tmpl w:val="DDC6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606C76"/>
    <w:multiLevelType w:val="multilevel"/>
    <w:tmpl w:val="645A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4B4196"/>
    <w:multiLevelType w:val="multilevel"/>
    <w:tmpl w:val="CEBED4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C23DFE"/>
    <w:multiLevelType w:val="multilevel"/>
    <w:tmpl w:val="055C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FE4D08"/>
    <w:multiLevelType w:val="multilevel"/>
    <w:tmpl w:val="DC6E13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3E69D7"/>
    <w:multiLevelType w:val="multilevel"/>
    <w:tmpl w:val="4ED0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2600B6"/>
    <w:multiLevelType w:val="multilevel"/>
    <w:tmpl w:val="EC921B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617F0B"/>
    <w:multiLevelType w:val="multilevel"/>
    <w:tmpl w:val="5EE0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9719D3"/>
    <w:multiLevelType w:val="hybridMultilevel"/>
    <w:tmpl w:val="69FA1158"/>
    <w:lvl w:ilvl="0" w:tplc="86DC0B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
  </w:num>
  <w:num w:numId="4">
    <w:abstractNumId w:val="8"/>
  </w:num>
  <w:num w:numId="5">
    <w:abstractNumId w:val="12"/>
  </w:num>
  <w:num w:numId="6">
    <w:abstractNumId w:val="9"/>
  </w:num>
  <w:num w:numId="7">
    <w:abstractNumId w:val="10"/>
  </w:num>
  <w:num w:numId="8">
    <w:abstractNumId w:val="13"/>
  </w:num>
  <w:num w:numId="9">
    <w:abstractNumId w:val="7"/>
  </w:num>
  <w:num w:numId="10">
    <w:abstractNumId w:val="2"/>
  </w:num>
  <w:num w:numId="11">
    <w:abstractNumId w:val="5"/>
  </w:num>
  <w:num w:numId="12">
    <w:abstractNumId w:val="0"/>
  </w:num>
  <w:num w:numId="13">
    <w:abstractNumId w:val="17"/>
  </w:num>
  <w:num w:numId="14">
    <w:abstractNumId w:val="4"/>
  </w:num>
  <w:num w:numId="15">
    <w:abstractNumId w:val="15"/>
  </w:num>
  <w:num w:numId="16">
    <w:abstractNumId w:val="14"/>
  </w:num>
  <w:num w:numId="17">
    <w:abstractNumId w:val="3"/>
  </w:num>
  <w:num w:numId="18">
    <w:abstractNumId w:val="18"/>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6F4"/>
    <w:rsid w:val="00087881"/>
    <w:rsid w:val="000C401B"/>
    <w:rsid w:val="00151DAF"/>
    <w:rsid w:val="001E532B"/>
    <w:rsid w:val="002F5F41"/>
    <w:rsid w:val="00382543"/>
    <w:rsid w:val="00384220"/>
    <w:rsid w:val="003C1F1A"/>
    <w:rsid w:val="004B3582"/>
    <w:rsid w:val="00821965"/>
    <w:rsid w:val="008D021F"/>
    <w:rsid w:val="008E672A"/>
    <w:rsid w:val="0091583E"/>
    <w:rsid w:val="00942648"/>
    <w:rsid w:val="00A27BD7"/>
    <w:rsid w:val="00A33CBB"/>
    <w:rsid w:val="00C928BF"/>
    <w:rsid w:val="00CC7792"/>
    <w:rsid w:val="00D26DD7"/>
    <w:rsid w:val="00D41540"/>
    <w:rsid w:val="00D646C4"/>
    <w:rsid w:val="00DF36F4"/>
    <w:rsid w:val="00F90CC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09E94-0F2B-4C88-B93B-4DD66338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6F4"/>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36F4"/>
    <w:pPr>
      <w:ind w:left="720"/>
      <w:contextualSpacing/>
    </w:pPr>
  </w:style>
  <w:style w:type="table" w:customStyle="1" w:styleId="Grilledutableau1">
    <w:name w:val="Grille du tableau1"/>
    <w:basedOn w:val="TableauNormal"/>
    <w:next w:val="Grilledutableau"/>
    <w:uiPriority w:val="39"/>
    <w:rsid w:val="000C401B"/>
    <w:pPr>
      <w:spacing w:after="0" w:line="240" w:lineRule="auto"/>
      <w:jc w:val="both"/>
    </w:pPr>
    <w:rPr>
      <w:rFonts w:ascii="Tw Cen MT" w:hAnsi="Tw Cen MT"/>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0C4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E672A"/>
    <w:pPr>
      <w:tabs>
        <w:tab w:val="center" w:pos="4513"/>
        <w:tab w:val="right" w:pos="9026"/>
      </w:tabs>
      <w:spacing w:after="0" w:line="240" w:lineRule="auto"/>
    </w:pPr>
  </w:style>
  <w:style w:type="character" w:customStyle="1" w:styleId="En-tteCar">
    <w:name w:val="En-tête Car"/>
    <w:basedOn w:val="Policepardfaut"/>
    <w:link w:val="En-tte"/>
    <w:uiPriority w:val="99"/>
    <w:rsid w:val="008E672A"/>
  </w:style>
  <w:style w:type="paragraph" w:styleId="Pieddepage">
    <w:name w:val="footer"/>
    <w:basedOn w:val="Normal"/>
    <w:link w:val="PieddepageCar"/>
    <w:uiPriority w:val="99"/>
    <w:unhideWhenUsed/>
    <w:rsid w:val="008E672A"/>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8E672A"/>
  </w:style>
  <w:style w:type="paragraph" w:styleId="NormalWeb">
    <w:name w:val="Normal (Web)"/>
    <w:basedOn w:val="Normal"/>
    <w:uiPriority w:val="99"/>
    <w:semiHidden/>
    <w:unhideWhenUsed/>
    <w:rsid w:val="003825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219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479107">
      <w:bodyDiv w:val="1"/>
      <w:marLeft w:val="0"/>
      <w:marRight w:val="0"/>
      <w:marTop w:val="0"/>
      <w:marBottom w:val="0"/>
      <w:divBdr>
        <w:top w:val="none" w:sz="0" w:space="0" w:color="auto"/>
        <w:left w:val="none" w:sz="0" w:space="0" w:color="auto"/>
        <w:bottom w:val="none" w:sz="0" w:space="0" w:color="auto"/>
        <w:right w:val="none" w:sz="0" w:space="0" w:color="auto"/>
      </w:divBdr>
    </w:div>
    <w:div w:id="609706707">
      <w:bodyDiv w:val="1"/>
      <w:marLeft w:val="0"/>
      <w:marRight w:val="0"/>
      <w:marTop w:val="0"/>
      <w:marBottom w:val="0"/>
      <w:divBdr>
        <w:top w:val="none" w:sz="0" w:space="0" w:color="auto"/>
        <w:left w:val="none" w:sz="0" w:space="0" w:color="auto"/>
        <w:bottom w:val="none" w:sz="0" w:space="0" w:color="auto"/>
        <w:right w:val="none" w:sz="0" w:space="0" w:color="auto"/>
      </w:divBdr>
    </w:div>
    <w:div w:id="1828479391">
      <w:bodyDiv w:val="1"/>
      <w:marLeft w:val="0"/>
      <w:marRight w:val="0"/>
      <w:marTop w:val="0"/>
      <w:marBottom w:val="0"/>
      <w:divBdr>
        <w:top w:val="none" w:sz="0" w:space="0" w:color="auto"/>
        <w:left w:val="none" w:sz="0" w:space="0" w:color="auto"/>
        <w:bottom w:val="none" w:sz="0" w:space="0" w:color="auto"/>
        <w:right w:val="none" w:sz="0" w:space="0" w:color="auto"/>
      </w:divBdr>
    </w:div>
    <w:div w:id="202343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783F4-A637-4D33-8F5C-C9935A90E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3634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cp:lastModifiedBy>
  <cp:revision>2</cp:revision>
  <dcterms:created xsi:type="dcterms:W3CDTF">2024-10-16T22:29:00Z</dcterms:created>
  <dcterms:modified xsi:type="dcterms:W3CDTF">2024-10-16T22:29:00Z</dcterms:modified>
</cp:coreProperties>
</file>